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14" w:rsidRDefault="00226BEC">
      <w:r>
        <w:rPr>
          <w:noProof/>
        </w:rPr>
        <w:drawing>
          <wp:inline distT="0" distB="0" distL="0" distR="0">
            <wp:extent cx="6324600" cy="67818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5649E5" w:rsidRDefault="005649E5"/>
    <w:p w:rsidR="001D6886" w:rsidRDefault="00495967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6886" w:rsidRDefault="001D6886"/>
    <w:p w:rsidR="005649E5" w:rsidRDefault="001D6886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C00F5" w:rsidRDefault="00BC00F5"/>
    <w:p w:rsidR="00BC00F5" w:rsidRDefault="00BC00F5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150E" w:rsidRDefault="00D4150E"/>
    <w:p w:rsidR="00D4150E" w:rsidRDefault="00D4150E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150E" w:rsidRDefault="00D4150E"/>
    <w:p w:rsidR="00D4150E" w:rsidRDefault="00D4150E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D41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BEC"/>
    <w:rsid w:val="000A11B6"/>
    <w:rsid w:val="001D6886"/>
    <w:rsid w:val="00226BEC"/>
    <w:rsid w:val="00295486"/>
    <w:rsid w:val="002B094B"/>
    <w:rsid w:val="00495967"/>
    <w:rsid w:val="005649E5"/>
    <w:rsid w:val="006E15E1"/>
    <w:rsid w:val="00BC00F5"/>
    <w:rsid w:val="00D4150E"/>
    <w:rsid w:val="00D9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2020m. VUL SK vykdomų biomedicininių tyrimų terapinės sritys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Tyrimų skaičius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Sheet1!$A$2:$A$31</c:f>
              <c:strCache>
                <c:ptCount val="30"/>
                <c:pt idx="0">
                  <c:v>Akių ligos</c:v>
                </c:pt>
                <c:pt idx="1">
                  <c:v>Akušerija ir ginekologija</c:v>
                </c:pt>
                <c:pt idx="2">
                  <c:v>Anesteziologija, intensyviosios terapija ir skausmo gydymas</c:v>
                </c:pt>
                <c:pt idx="3">
                  <c:v>Ausų, nosies, gerklės ligos</c:v>
                </c:pt>
                <c:pt idx="4">
                  <c:v>Biomedicininių tyrimų vykdymo skyrius</c:v>
                </c:pt>
                <c:pt idx="5">
                  <c:v>Dermatovenerologija</c:v>
                </c:pt>
                <c:pt idx="6">
                  <c:v>Endokrinologija</c:v>
                </c:pt>
                <c:pt idx="7">
                  <c:v>Genetika</c:v>
                </c:pt>
                <c:pt idx="8">
                  <c:v>Hematologija, onkologija ir transfuziologija</c:v>
                </c:pt>
                <c:pt idx="9">
                  <c:v>Hepatologija, gastroenterologija ir dietologija</c:v>
                </c:pt>
                <c:pt idx="10">
                  <c:v>Infekcinės ligos</c:v>
                </c:pt>
                <c:pt idx="11">
                  <c:v>Kardiologija ir angiologija</c:v>
                </c:pt>
                <c:pt idx="12">
                  <c:v>Kraujagyslių rekonstrukcinė ir endovaskulinės chirurgija</c:v>
                </c:pt>
                <c:pt idx="13">
                  <c:v>Laboratorinė medicina</c:v>
                </c:pt>
                <c:pt idx="14">
                  <c:v>Nefrologija</c:v>
                </c:pt>
                <c:pt idx="15">
                  <c:v>Neonatologija</c:v>
                </c:pt>
                <c:pt idx="16">
                  <c:v>Neurochirurgija</c:v>
                </c:pt>
                <c:pt idx="17">
                  <c:v>Neurologija</c:v>
                </c:pt>
                <c:pt idx="18">
                  <c:v>Ortopedija-traumatologija</c:v>
                </c:pt>
                <c:pt idx="19">
                  <c:v>Pediatrija</c:v>
                </c:pt>
                <c:pt idx="20">
                  <c:v>Pilvo chirurgija</c:v>
                </c:pt>
                <c:pt idx="21">
                  <c:v>Pulmonologija ir alergologija</c:v>
                </c:pt>
                <c:pt idx="22">
                  <c:v>Radiologija ir branduolinė medicina</c:v>
                </c:pt>
                <c:pt idx="23">
                  <c:v>Reabilitacija, fizinė ir sporto medicina</c:v>
                </c:pt>
                <c:pt idx="24">
                  <c:v>Reumatologija</c:v>
                </c:pt>
                <c:pt idx="25">
                  <c:v>Šeimos medicina</c:v>
                </c:pt>
                <c:pt idx="26">
                  <c:v>Širdies ir krūtinės chirurgija</c:v>
                </c:pt>
                <c:pt idx="27">
                  <c:v>Urologija</c:v>
                </c:pt>
                <c:pt idx="28">
                  <c:v>Valstybinis patologijos centras</c:v>
                </c:pt>
                <c:pt idx="29">
                  <c:v>Vidaus ligos</c:v>
                </c:pt>
              </c:strCache>
            </c:strRef>
          </c:cat>
          <c:val>
            <c:numRef>
              <c:f>Sheet1!$B$2:$B$31</c:f>
              <c:numCache>
                <c:formatCode>General</c:formatCode>
                <c:ptCount val="30"/>
                <c:pt idx="0">
                  <c:v>11</c:v>
                </c:pt>
                <c:pt idx="1">
                  <c:v>15</c:v>
                </c:pt>
                <c:pt idx="2">
                  <c:v>16</c:v>
                </c:pt>
                <c:pt idx="3">
                  <c:v>2</c:v>
                </c:pt>
                <c:pt idx="4">
                  <c:v>49</c:v>
                </c:pt>
                <c:pt idx="5">
                  <c:v>12</c:v>
                </c:pt>
                <c:pt idx="6">
                  <c:v>12</c:v>
                </c:pt>
                <c:pt idx="7">
                  <c:v>7</c:v>
                </c:pt>
                <c:pt idx="8">
                  <c:v>26</c:v>
                </c:pt>
                <c:pt idx="9">
                  <c:v>17</c:v>
                </c:pt>
                <c:pt idx="10">
                  <c:v>13</c:v>
                </c:pt>
                <c:pt idx="11">
                  <c:v>60</c:v>
                </c:pt>
                <c:pt idx="12">
                  <c:v>6</c:v>
                </c:pt>
                <c:pt idx="13">
                  <c:v>6</c:v>
                </c:pt>
                <c:pt idx="14">
                  <c:v>25</c:v>
                </c:pt>
                <c:pt idx="15">
                  <c:v>5</c:v>
                </c:pt>
                <c:pt idx="16">
                  <c:v>3</c:v>
                </c:pt>
                <c:pt idx="17">
                  <c:v>25</c:v>
                </c:pt>
                <c:pt idx="18">
                  <c:v>4</c:v>
                </c:pt>
                <c:pt idx="19">
                  <c:v>48</c:v>
                </c:pt>
                <c:pt idx="20">
                  <c:v>21</c:v>
                </c:pt>
                <c:pt idx="21">
                  <c:v>7</c:v>
                </c:pt>
                <c:pt idx="22">
                  <c:v>2</c:v>
                </c:pt>
                <c:pt idx="23">
                  <c:v>1</c:v>
                </c:pt>
                <c:pt idx="24">
                  <c:v>17</c:v>
                </c:pt>
                <c:pt idx="25">
                  <c:v>3</c:v>
                </c:pt>
                <c:pt idx="26">
                  <c:v>8</c:v>
                </c:pt>
                <c:pt idx="27">
                  <c:v>5</c:v>
                </c:pt>
                <c:pt idx="28">
                  <c:v>2</c:v>
                </c:pt>
                <c:pt idx="2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254656"/>
        <c:axId val="37256192"/>
      </c:barChart>
      <c:catAx>
        <c:axId val="37254656"/>
        <c:scaling>
          <c:orientation val="minMax"/>
        </c:scaling>
        <c:delete val="0"/>
        <c:axPos val="l"/>
        <c:majorTickMark val="out"/>
        <c:minorTickMark val="none"/>
        <c:tickLblPos val="nextTo"/>
        <c:crossAx val="37256192"/>
        <c:crosses val="autoZero"/>
        <c:auto val="1"/>
        <c:lblAlgn val="ctr"/>
        <c:lblOffset val="100"/>
        <c:noMultiLvlLbl val="0"/>
      </c:catAx>
      <c:valAx>
        <c:axId val="37256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72546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2020</a:t>
            </a:r>
            <a:r>
              <a:rPr lang="lt-LT" baseline="0"/>
              <a:t> m. VUL SK vykdomų biomedicininių tyrimų pobūdis</a:t>
            </a:r>
            <a:endParaRPr lang="en-US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plosion val="9"/>
          </c:dPt>
          <c:dPt>
            <c:idx val="1"/>
            <c:bubble3D val="0"/>
          </c:dPt>
          <c:dLbls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Klinikiniai vaistinių preparatų ir medicinos prietaisų tyrimai</c:v>
                </c:pt>
                <c:pt idx="1">
                  <c:v>Moksliniai nekomerciniai tyrimai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234</c:v>
                </c:pt>
                <c:pt idx="1">
                  <c:v>230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Naujų</a:t>
            </a:r>
            <a:r>
              <a:rPr lang="lt-LT" baseline="0"/>
              <a:t> biomedicininių tyrimų inicijavimas: VUL SK dinamika</a:t>
            </a:r>
            <a:endParaRPr lang="lt-LT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Tyrimų skaičius</c:v>
                </c:pt>
              </c:strCache>
            </c:strRef>
          </c:tx>
          <c:invertIfNegative val="0"/>
          <c:cat>
            <c:numRef>
              <c:f>Sheet1!$A$2:$A$6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90</c:v>
                </c:pt>
                <c:pt idx="1">
                  <c:v>82</c:v>
                </c:pt>
                <c:pt idx="2">
                  <c:v>103</c:v>
                </c:pt>
                <c:pt idx="3">
                  <c:v>102</c:v>
                </c:pt>
                <c:pt idx="4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542848"/>
        <c:axId val="6544384"/>
      </c:barChart>
      <c:catAx>
        <c:axId val="654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6544384"/>
        <c:crosses val="autoZero"/>
        <c:auto val="1"/>
        <c:lblAlgn val="ctr"/>
        <c:lblOffset val="100"/>
        <c:noMultiLvlLbl val="0"/>
      </c:catAx>
      <c:valAx>
        <c:axId val="654438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654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Student</a:t>
            </a:r>
            <a:r>
              <a:rPr lang="lt-LT"/>
              <a:t>ų tiriamųjų darbų dinamika VUL SK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Sheet1!$B$2:$B$6</c:f>
              <c:numCache>
                <c:formatCode>General</c:formatCode>
                <c:ptCount val="5"/>
                <c:pt idx="0">
                  <c:v>71</c:v>
                </c:pt>
                <c:pt idx="1">
                  <c:v>147</c:v>
                </c:pt>
                <c:pt idx="2">
                  <c:v>239</c:v>
                </c:pt>
                <c:pt idx="3">
                  <c:v>125</c:v>
                </c:pt>
                <c:pt idx="4">
                  <c:v>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758784"/>
        <c:axId val="10768768"/>
      </c:barChart>
      <c:catAx>
        <c:axId val="10758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0768768"/>
        <c:crosses val="autoZero"/>
        <c:auto val="1"/>
        <c:lblAlgn val="ctr"/>
        <c:lblOffset val="100"/>
        <c:noMultiLvlLbl val="0"/>
      </c:catAx>
      <c:valAx>
        <c:axId val="10768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75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2020</a:t>
            </a:r>
            <a:r>
              <a:rPr lang="lt-LT" baseline="0"/>
              <a:t> VUL SK studentų tiriamųjų darbų tipai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Sheet1!$A$2:$A$3</c:f>
              <c:strCache>
                <c:ptCount val="2"/>
                <c:pt idx="0">
                  <c:v>Apklausa/anketa</c:v>
                </c:pt>
                <c:pt idx="1">
                  <c:v>Klinikinio atvejo analizė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53</c:v>
                </c:pt>
                <c:pt idx="1">
                  <c:v>111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lt-LT"/>
              <a:t>2020m</a:t>
            </a:r>
            <a:r>
              <a:rPr lang="lt-LT" baseline="0"/>
              <a:t> VUL SK studentų tiriamųjų darbų pasiskirstymas pagl mosklo instituciją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Apklausa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7289114902303877E-2"/>
                  <c:y val="-3.637524116577141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VU MF</c:v>
                </c:pt>
                <c:pt idx="1">
                  <c:v>Utenos kolegija</c:v>
                </c:pt>
                <c:pt idx="2">
                  <c:v>Vilniaus kolegija</c:v>
                </c:pt>
                <c:pt idx="3">
                  <c:v>LSMU</c:v>
                </c:pt>
                <c:pt idx="4">
                  <c:v>Klaipėdos universitetas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41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Klinikinio atvejo analizė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4.6296296296296294E-3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Sheet1!$A$2:$A$6</c:f>
              <c:strCache>
                <c:ptCount val="5"/>
                <c:pt idx="0">
                  <c:v>VU MF</c:v>
                </c:pt>
                <c:pt idx="1">
                  <c:v>Utenos kolegija</c:v>
                </c:pt>
                <c:pt idx="2">
                  <c:v>Vilniaus kolegija</c:v>
                </c:pt>
                <c:pt idx="3">
                  <c:v>LSMU</c:v>
                </c:pt>
                <c:pt idx="4">
                  <c:v>Klaipėdos universitetas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37531648"/>
        <c:axId val="37533184"/>
      </c:barChart>
      <c:catAx>
        <c:axId val="37531648"/>
        <c:scaling>
          <c:orientation val="minMax"/>
        </c:scaling>
        <c:delete val="0"/>
        <c:axPos val="l"/>
        <c:majorTickMark val="none"/>
        <c:minorTickMark val="none"/>
        <c:tickLblPos val="nextTo"/>
        <c:crossAx val="37533184"/>
        <c:crosses val="autoZero"/>
        <c:auto val="1"/>
        <c:lblAlgn val="ctr"/>
        <c:lblOffset val="100"/>
        <c:noMultiLvlLbl val="0"/>
      </c:catAx>
      <c:valAx>
        <c:axId val="3753318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75316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5C94-BB80-47E9-A2B7-CE0F91D3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2021-01-14T15:40:00Z</dcterms:created>
  <dcterms:modified xsi:type="dcterms:W3CDTF">2021-01-14T17:41:00Z</dcterms:modified>
</cp:coreProperties>
</file>