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40" w:type="dxa"/>
        <w:tblLook w:val="0000" w:firstRow="0" w:lastRow="0" w:firstColumn="0" w:lastColumn="0" w:noHBand="0" w:noVBand="0"/>
      </w:tblPr>
      <w:tblGrid>
        <w:gridCol w:w="2614"/>
        <w:gridCol w:w="1249"/>
        <w:gridCol w:w="600"/>
        <w:gridCol w:w="1657"/>
        <w:gridCol w:w="137"/>
        <w:gridCol w:w="763"/>
        <w:gridCol w:w="3240"/>
      </w:tblGrid>
      <w:tr w:rsidR="00833582" w:rsidTr="008F7FC6">
        <w:trPr>
          <w:cantSplit/>
        </w:trPr>
        <w:tc>
          <w:tcPr>
            <w:tcW w:w="10260" w:type="dxa"/>
            <w:gridSpan w:val="7"/>
          </w:tcPr>
          <w:p w:rsidR="00833582" w:rsidRDefault="008335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CURRICULUM VITAE</w:t>
            </w:r>
          </w:p>
        </w:tc>
      </w:tr>
      <w:tr w:rsidR="00493905" w:rsidRPr="000C31D7" w:rsidTr="00D864F0">
        <w:tc>
          <w:tcPr>
            <w:tcW w:w="4463" w:type="dxa"/>
            <w:gridSpan w:val="3"/>
          </w:tcPr>
          <w:p w:rsidR="00833582" w:rsidRDefault="00833582">
            <w:pPr>
              <w:rPr>
                <w:sz w:val="20"/>
                <w:szCs w:val="20"/>
              </w:rPr>
            </w:pPr>
          </w:p>
          <w:p w:rsidR="00D864F0" w:rsidRPr="000C31D7" w:rsidRDefault="00D864F0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833582" w:rsidRPr="000C31D7" w:rsidRDefault="00833582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:rsidR="00833582" w:rsidRPr="000C31D7" w:rsidRDefault="00833582">
            <w:pPr>
              <w:rPr>
                <w:sz w:val="20"/>
                <w:szCs w:val="20"/>
              </w:rPr>
            </w:pPr>
          </w:p>
        </w:tc>
      </w:tr>
      <w:tr w:rsidR="000F1CBB" w:rsidTr="00D864F0">
        <w:trPr>
          <w:cantSplit/>
        </w:trPr>
        <w:tc>
          <w:tcPr>
            <w:tcW w:w="6120" w:type="dxa"/>
            <w:gridSpan w:val="4"/>
          </w:tcPr>
          <w:p w:rsidR="00833582" w:rsidRDefault="00833582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Vardas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Pavardė</w:t>
            </w:r>
            <w:proofErr w:type="spellEnd"/>
          </w:p>
        </w:tc>
        <w:tc>
          <w:tcPr>
            <w:tcW w:w="4140" w:type="dxa"/>
            <w:gridSpan w:val="3"/>
          </w:tcPr>
          <w:p w:rsidR="00833582" w:rsidRDefault="00833582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Specialybė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mokslinis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laipsnis</w:t>
            </w:r>
            <w:proofErr w:type="spellEnd"/>
          </w:p>
        </w:tc>
      </w:tr>
      <w:tr w:rsidR="000F1CBB" w:rsidTr="008F7FC6">
        <w:trPr>
          <w:cantSplit/>
        </w:trPr>
        <w:tc>
          <w:tcPr>
            <w:tcW w:w="6120" w:type="dxa"/>
            <w:gridSpan w:val="4"/>
          </w:tcPr>
          <w:p w:rsidR="00833582" w:rsidRPr="0000326E" w:rsidRDefault="00833582">
            <w:pPr>
              <w:rPr>
                <w:b/>
              </w:rPr>
            </w:pPr>
            <w:r w:rsidRPr="0000326E">
              <w:rPr>
                <w:b/>
              </w:rPr>
              <w:t>Gintaras Kaubrys</w:t>
            </w:r>
          </w:p>
        </w:tc>
        <w:tc>
          <w:tcPr>
            <w:tcW w:w="4140" w:type="dxa"/>
            <w:gridSpan w:val="3"/>
          </w:tcPr>
          <w:p w:rsidR="00833582" w:rsidRPr="0000326E" w:rsidRDefault="004461C1" w:rsidP="004461C1">
            <w:pPr>
              <w:rPr>
                <w:sz w:val="22"/>
                <w:szCs w:val="22"/>
              </w:rPr>
            </w:pPr>
            <w:proofErr w:type="spellStart"/>
            <w:r w:rsidRPr="0000326E">
              <w:rPr>
                <w:sz w:val="22"/>
                <w:szCs w:val="22"/>
              </w:rPr>
              <w:t>N</w:t>
            </w:r>
            <w:r w:rsidR="00833582" w:rsidRPr="0000326E">
              <w:rPr>
                <w:sz w:val="22"/>
                <w:szCs w:val="22"/>
              </w:rPr>
              <w:t>eurologas</w:t>
            </w:r>
            <w:proofErr w:type="spellEnd"/>
            <w:r w:rsidRPr="0000326E">
              <w:rPr>
                <w:sz w:val="22"/>
                <w:szCs w:val="22"/>
              </w:rPr>
              <w:t xml:space="preserve">; </w:t>
            </w:r>
            <w:proofErr w:type="spellStart"/>
            <w:r w:rsidRPr="0000326E">
              <w:rPr>
                <w:sz w:val="22"/>
                <w:szCs w:val="22"/>
              </w:rPr>
              <w:t>Profesorius</w:t>
            </w:r>
            <w:proofErr w:type="spellEnd"/>
            <w:r w:rsidRPr="0000326E">
              <w:rPr>
                <w:sz w:val="22"/>
                <w:szCs w:val="22"/>
              </w:rPr>
              <w:t xml:space="preserve">, </w:t>
            </w:r>
            <w:r w:rsidR="00833582" w:rsidRPr="0000326E">
              <w:rPr>
                <w:sz w:val="22"/>
                <w:szCs w:val="22"/>
              </w:rPr>
              <w:t>med. dr.</w:t>
            </w:r>
          </w:p>
        </w:tc>
      </w:tr>
      <w:tr w:rsidR="00833582" w:rsidRPr="00124E3A" w:rsidTr="008F7FC6">
        <w:trPr>
          <w:cantSplit/>
        </w:trPr>
        <w:tc>
          <w:tcPr>
            <w:tcW w:w="10260" w:type="dxa"/>
            <w:gridSpan w:val="7"/>
          </w:tcPr>
          <w:p w:rsidR="00833582" w:rsidRPr="00124E3A" w:rsidRDefault="00833582">
            <w:pPr>
              <w:rPr>
                <w:sz w:val="16"/>
                <w:szCs w:val="16"/>
              </w:rPr>
            </w:pPr>
          </w:p>
        </w:tc>
      </w:tr>
      <w:tr w:rsidR="00833582" w:rsidTr="00D864F0">
        <w:trPr>
          <w:cantSplit/>
        </w:trPr>
        <w:tc>
          <w:tcPr>
            <w:tcW w:w="10260" w:type="dxa"/>
            <w:gridSpan w:val="7"/>
          </w:tcPr>
          <w:p w:rsidR="00833582" w:rsidRDefault="00833582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Darbovietė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adresas</w:t>
            </w:r>
            <w:proofErr w:type="spellEnd"/>
          </w:p>
        </w:tc>
      </w:tr>
      <w:tr w:rsidR="00833582" w:rsidTr="008F7FC6">
        <w:trPr>
          <w:cantSplit/>
        </w:trPr>
        <w:tc>
          <w:tcPr>
            <w:tcW w:w="10260" w:type="dxa"/>
            <w:gridSpan w:val="7"/>
          </w:tcPr>
          <w:p w:rsidR="00916131" w:rsidRPr="0057212D" w:rsidRDefault="0057212D" w:rsidP="0062228D">
            <w:pPr>
              <w:rPr>
                <w:sz w:val="22"/>
              </w:rPr>
            </w:pPr>
            <w:proofErr w:type="spellStart"/>
            <w:r w:rsidRPr="0057212D">
              <w:rPr>
                <w:sz w:val="22"/>
              </w:rPr>
              <w:t>Vilniaus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universitetas</w:t>
            </w:r>
            <w:proofErr w:type="spellEnd"/>
            <w:r w:rsidRPr="0057212D">
              <w:rPr>
                <w:sz w:val="22"/>
              </w:rPr>
              <w:t xml:space="preserve">, </w:t>
            </w:r>
            <w:proofErr w:type="spellStart"/>
            <w:r w:rsidRPr="0057212D">
              <w:rPr>
                <w:sz w:val="22"/>
              </w:rPr>
              <w:t>Medicinos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fakultetas</w:t>
            </w:r>
            <w:proofErr w:type="spellEnd"/>
            <w:r w:rsidRPr="0057212D">
              <w:rPr>
                <w:sz w:val="22"/>
              </w:rPr>
              <w:t xml:space="preserve">, </w:t>
            </w:r>
            <w:proofErr w:type="spellStart"/>
            <w:r w:rsidR="004461C1">
              <w:rPr>
                <w:sz w:val="22"/>
              </w:rPr>
              <w:t>Klinikinės</w:t>
            </w:r>
            <w:proofErr w:type="spellEnd"/>
            <w:r w:rsidR="004461C1">
              <w:rPr>
                <w:sz w:val="22"/>
              </w:rPr>
              <w:t xml:space="preserve"> </w:t>
            </w:r>
            <w:proofErr w:type="spellStart"/>
            <w:r w:rsidR="004461C1">
              <w:rPr>
                <w:sz w:val="22"/>
              </w:rPr>
              <w:t>medicinos</w:t>
            </w:r>
            <w:proofErr w:type="spellEnd"/>
            <w:r w:rsidR="004461C1">
              <w:rPr>
                <w:sz w:val="22"/>
              </w:rPr>
              <w:t xml:space="preserve"> </w:t>
            </w:r>
            <w:proofErr w:type="spellStart"/>
            <w:r w:rsidR="004461C1">
              <w:rPr>
                <w:sz w:val="22"/>
              </w:rPr>
              <w:t>institutas</w:t>
            </w:r>
            <w:proofErr w:type="spellEnd"/>
            <w:r w:rsidR="004461C1">
              <w:rPr>
                <w:sz w:val="22"/>
              </w:rPr>
              <w:t xml:space="preserve">, </w:t>
            </w:r>
            <w:proofErr w:type="spellStart"/>
            <w:r w:rsidRPr="0057212D">
              <w:rPr>
                <w:sz w:val="22"/>
              </w:rPr>
              <w:t>Neurologijos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ir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neurochirurgijos</w:t>
            </w:r>
            <w:proofErr w:type="spellEnd"/>
            <w:r w:rsidRPr="0057212D">
              <w:rPr>
                <w:sz w:val="22"/>
              </w:rPr>
              <w:t xml:space="preserve"> klinika. </w:t>
            </w:r>
            <w:bookmarkStart w:id="0" w:name="_GoBack"/>
            <w:bookmarkEnd w:id="0"/>
          </w:p>
          <w:p w:rsidR="00833582" w:rsidRPr="0057212D" w:rsidRDefault="00833582" w:rsidP="0062228D">
            <w:pPr>
              <w:rPr>
                <w:sz w:val="22"/>
              </w:rPr>
            </w:pPr>
            <w:proofErr w:type="spellStart"/>
            <w:r w:rsidRPr="0057212D">
              <w:rPr>
                <w:sz w:val="22"/>
              </w:rPr>
              <w:t>Vilniaus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universiteto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ligoninė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Santar</w:t>
            </w:r>
            <w:r w:rsidR="000022D6">
              <w:rPr>
                <w:sz w:val="22"/>
              </w:rPr>
              <w:t>os</w:t>
            </w:r>
            <w:proofErr w:type="spellEnd"/>
            <w:r w:rsidRPr="0057212D">
              <w:rPr>
                <w:sz w:val="22"/>
              </w:rPr>
              <w:t xml:space="preserve"> </w:t>
            </w:r>
            <w:proofErr w:type="spellStart"/>
            <w:r w:rsidRPr="0057212D">
              <w:rPr>
                <w:sz w:val="22"/>
              </w:rPr>
              <w:t>klinikos</w:t>
            </w:r>
            <w:proofErr w:type="spellEnd"/>
            <w:r w:rsidRPr="0057212D">
              <w:rPr>
                <w:sz w:val="22"/>
              </w:rPr>
              <w:t>,</w:t>
            </w:r>
            <w:r w:rsidR="00F850E4" w:rsidRPr="0057212D">
              <w:rPr>
                <w:sz w:val="22"/>
              </w:rPr>
              <w:t xml:space="preserve"> </w:t>
            </w:r>
            <w:proofErr w:type="spellStart"/>
            <w:r w:rsidR="00F850E4" w:rsidRPr="0057212D">
              <w:rPr>
                <w:sz w:val="22"/>
              </w:rPr>
              <w:t>Neurologijos</w:t>
            </w:r>
            <w:proofErr w:type="spellEnd"/>
            <w:r w:rsidR="00F850E4" w:rsidRPr="0057212D">
              <w:rPr>
                <w:sz w:val="22"/>
              </w:rPr>
              <w:t xml:space="preserve"> </w:t>
            </w:r>
            <w:proofErr w:type="spellStart"/>
            <w:r w:rsidR="00F850E4" w:rsidRPr="0057212D">
              <w:rPr>
                <w:sz w:val="22"/>
              </w:rPr>
              <w:t>centras</w:t>
            </w:r>
            <w:proofErr w:type="spellEnd"/>
            <w:r w:rsidR="00F850E4" w:rsidRPr="0057212D">
              <w:rPr>
                <w:sz w:val="22"/>
              </w:rPr>
              <w:t>,</w:t>
            </w:r>
            <w:r w:rsidR="00F850E4">
              <w:rPr>
                <w:sz w:val="22"/>
              </w:rPr>
              <w:t xml:space="preserve"> </w:t>
            </w:r>
          </w:p>
          <w:p w:rsidR="00833582" w:rsidRDefault="0083358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Santariškių</w:t>
            </w:r>
            <w:proofErr w:type="spellEnd"/>
            <w:r>
              <w:rPr>
                <w:sz w:val="22"/>
              </w:rPr>
              <w:t xml:space="preserve"> 2, Vilnius, LT-</w:t>
            </w:r>
            <w:r w:rsidR="002F06D6">
              <w:rPr>
                <w:sz w:val="22"/>
              </w:rPr>
              <w:t>08661</w:t>
            </w:r>
            <w:r w:rsidR="0062228D">
              <w:rPr>
                <w:sz w:val="22"/>
              </w:rPr>
              <w:t xml:space="preserve">, </w:t>
            </w:r>
            <w:proofErr w:type="spellStart"/>
            <w:r w:rsidR="0062228D">
              <w:rPr>
                <w:sz w:val="22"/>
              </w:rPr>
              <w:t>Lietuva</w:t>
            </w:r>
            <w:proofErr w:type="spellEnd"/>
          </w:p>
        </w:tc>
      </w:tr>
      <w:tr w:rsidR="00833582" w:rsidRPr="005945D9" w:rsidTr="008F7FC6">
        <w:trPr>
          <w:cantSplit/>
        </w:trPr>
        <w:tc>
          <w:tcPr>
            <w:tcW w:w="10260" w:type="dxa"/>
            <w:gridSpan w:val="7"/>
          </w:tcPr>
          <w:p w:rsidR="00833582" w:rsidRPr="005945D9" w:rsidRDefault="00833582">
            <w:pPr>
              <w:rPr>
                <w:sz w:val="12"/>
                <w:szCs w:val="12"/>
              </w:rPr>
            </w:pPr>
          </w:p>
        </w:tc>
      </w:tr>
      <w:tr w:rsidR="000F1CBB" w:rsidTr="00D864F0">
        <w:trPr>
          <w:cantSplit/>
        </w:trPr>
        <w:tc>
          <w:tcPr>
            <w:tcW w:w="6257" w:type="dxa"/>
            <w:gridSpan w:val="5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Telefonas</w:t>
            </w:r>
            <w:proofErr w:type="spellEnd"/>
          </w:p>
        </w:tc>
        <w:tc>
          <w:tcPr>
            <w:tcW w:w="4003" w:type="dxa"/>
            <w:gridSpan w:val="2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Faksas</w:t>
            </w:r>
            <w:proofErr w:type="spellEnd"/>
          </w:p>
        </w:tc>
      </w:tr>
      <w:tr w:rsidR="000F1CBB" w:rsidTr="008F7FC6">
        <w:trPr>
          <w:cantSplit/>
        </w:trPr>
        <w:tc>
          <w:tcPr>
            <w:tcW w:w="6257" w:type="dxa"/>
            <w:gridSpan w:val="5"/>
          </w:tcPr>
          <w:p w:rsidR="00833582" w:rsidRPr="005F05B1" w:rsidRDefault="00C917E6">
            <w:pPr>
              <w:rPr>
                <w:sz w:val="20"/>
                <w:szCs w:val="20"/>
              </w:rPr>
            </w:pPr>
            <w:r w:rsidRPr="00C917E6">
              <w:rPr>
                <w:sz w:val="20"/>
                <w:szCs w:val="20"/>
              </w:rPr>
              <w:t>370 5 2365095</w:t>
            </w:r>
          </w:p>
        </w:tc>
        <w:tc>
          <w:tcPr>
            <w:tcW w:w="4003" w:type="dxa"/>
            <w:gridSpan w:val="2"/>
          </w:tcPr>
          <w:p w:rsidR="00833582" w:rsidRPr="005F05B1" w:rsidRDefault="002F06D6">
            <w:pPr>
              <w:rPr>
                <w:sz w:val="20"/>
                <w:szCs w:val="20"/>
              </w:rPr>
            </w:pPr>
            <w:r w:rsidRPr="005F05B1">
              <w:rPr>
                <w:sz w:val="20"/>
                <w:szCs w:val="20"/>
              </w:rPr>
              <w:t>370 5 2</w:t>
            </w:r>
            <w:r w:rsidR="00833582" w:rsidRPr="005F05B1">
              <w:rPr>
                <w:sz w:val="20"/>
                <w:szCs w:val="20"/>
              </w:rPr>
              <w:t>365</w:t>
            </w:r>
            <w:r w:rsidRPr="005F05B1">
              <w:rPr>
                <w:sz w:val="20"/>
                <w:szCs w:val="20"/>
              </w:rPr>
              <w:t>095</w:t>
            </w:r>
          </w:p>
        </w:tc>
      </w:tr>
      <w:tr w:rsidR="00833582" w:rsidRPr="005945D9" w:rsidTr="008F7FC6">
        <w:trPr>
          <w:cantSplit/>
        </w:trPr>
        <w:tc>
          <w:tcPr>
            <w:tcW w:w="10260" w:type="dxa"/>
            <w:gridSpan w:val="7"/>
          </w:tcPr>
          <w:p w:rsidR="00833582" w:rsidRPr="005945D9" w:rsidRDefault="00833582">
            <w:pPr>
              <w:rPr>
                <w:sz w:val="12"/>
                <w:szCs w:val="12"/>
              </w:rPr>
            </w:pPr>
          </w:p>
        </w:tc>
      </w:tr>
      <w:tr w:rsidR="00833582" w:rsidTr="00D864F0">
        <w:trPr>
          <w:cantSplit/>
        </w:trPr>
        <w:tc>
          <w:tcPr>
            <w:tcW w:w="10260" w:type="dxa"/>
            <w:gridSpan w:val="7"/>
          </w:tcPr>
          <w:p w:rsidR="00833582" w:rsidRPr="005F05B1" w:rsidRDefault="00C50FE6" w:rsidP="00C50FE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Išsilavinimas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kvalifikacija</w:t>
            </w:r>
            <w:proofErr w:type="spellEnd"/>
          </w:p>
        </w:tc>
      </w:tr>
      <w:tr w:rsidR="006B7272" w:rsidTr="008F7FC6">
        <w:tc>
          <w:tcPr>
            <w:tcW w:w="3863" w:type="dxa"/>
            <w:gridSpan w:val="2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Įstaigos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pavadinimas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ir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3157" w:type="dxa"/>
            <w:gridSpan w:val="4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Kvalifikacija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>, (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laipsnis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metai</w:t>
            </w:r>
            <w:proofErr w:type="spellEnd"/>
          </w:p>
        </w:tc>
        <w:tc>
          <w:tcPr>
            <w:tcW w:w="3240" w:type="dxa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Sritis</w:t>
            </w:r>
            <w:proofErr w:type="spellEnd"/>
          </w:p>
        </w:tc>
      </w:tr>
      <w:tr w:rsidR="006B7272" w:rsidTr="008F7FC6">
        <w:tc>
          <w:tcPr>
            <w:tcW w:w="3863" w:type="dxa"/>
            <w:gridSpan w:val="2"/>
          </w:tcPr>
          <w:p w:rsidR="00833582" w:rsidRPr="000F1CBB" w:rsidRDefault="00833582" w:rsidP="00C917E6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0F1CBB">
              <w:rPr>
                <w:sz w:val="20"/>
                <w:szCs w:val="20"/>
                <w:lang w:val="es-ES_tradnl"/>
              </w:rPr>
              <w:t>Kauno</w:t>
            </w:r>
            <w:proofErr w:type="spellEnd"/>
            <w:r w:rsidRPr="000F1CBB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1CBB">
              <w:rPr>
                <w:sz w:val="20"/>
                <w:szCs w:val="20"/>
                <w:lang w:val="es-ES_tradnl"/>
              </w:rPr>
              <w:t>Medicinos</w:t>
            </w:r>
            <w:proofErr w:type="spellEnd"/>
            <w:r w:rsidRPr="000F1CBB">
              <w:rPr>
                <w:sz w:val="20"/>
                <w:szCs w:val="20"/>
                <w:lang w:val="es-ES_tradnl"/>
              </w:rPr>
              <w:t xml:space="preserve"> </w:t>
            </w:r>
            <w:r w:rsidR="00C917E6">
              <w:rPr>
                <w:sz w:val="20"/>
                <w:szCs w:val="20"/>
                <w:lang w:val="es-ES_tradnl"/>
              </w:rPr>
              <w:t>Institutas</w:t>
            </w:r>
            <w:r w:rsidRPr="000F1CBB">
              <w:rPr>
                <w:sz w:val="20"/>
                <w:szCs w:val="20"/>
                <w:lang w:val="es-ES_tradnl"/>
              </w:rPr>
              <w:t xml:space="preserve">, Kaunas, </w:t>
            </w:r>
            <w:proofErr w:type="spellStart"/>
            <w:r w:rsidRPr="000F1CBB">
              <w:rPr>
                <w:sz w:val="20"/>
                <w:szCs w:val="20"/>
                <w:lang w:val="es-ES_tradnl"/>
              </w:rPr>
              <w:t>Lietuva</w:t>
            </w:r>
            <w:proofErr w:type="spellEnd"/>
          </w:p>
        </w:tc>
        <w:tc>
          <w:tcPr>
            <w:tcW w:w="3157" w:type="dxa"/>
            <w:gridSpan w:val="4"/>
          </w:tcPr>
          <w:p w:rsidR="00833582" w:rsidRPr="005F05B1" w:rsidRDefault="00833582">
            <w:pPr>
              <w:rPr>
                <w:sz w:val="20"/>
                <w:szCs w:val="20"/>
              </w:rPr>
            </w:pPr>
            <w:r w:rsidRPr="005F05B1">
              <w:rPr>
                <w:sz w:val="20"/>
                <w:szCs w:val="20"/>
                <w:lang w:val="it-IT"/>
              </w:rPr>
              <w:t>1987, gydytojo diplomas</w:t>
            </w:r>
          </w:p>
        </w:tc>
        <w:tc>
          <w:tcPr>
            <w:tcW w:w="3240" w:type="dxa"/>
          </w:tcPr>
          <w:p w:rsidR="00833582" w:rsidRPr="005F05B1" w:rsidRDefault="00833582">
            <w:pPr>
              <w:rPr>
                <w:sz w:val="20"/>
                <w:szCs w:val="20"/>
              </w:rPr>
            </w:pPr>
            <w:r w:rsidRPr="005F05B1">
              <w:rPr>
                <w:sz w:val="20"/>
                <w:szCs w:val="20"/>
                <w:lang w:val="it-IT"/>
              </w:rPr>
              <w:t>Gydomosios Medicinos studijos</w:t>
            </w:r>
          </w:p>
        </w:tc>
      </w:tr>
      <w:tr w:rsidR="006B7272" w:rsidTr="008F7FC6">
        <w:tc>
          <w:tcPr>
            <w:tcW w:w="3863" w:type="dxa"/>
            <w:gridSpan w:val="2"/>
          </w:tcPr>
          <w:p w:rsidR="00833582" w:rsidRPr="009E41A0" w:rsidRDefault="009E41A0" w:rsidP="00C917E6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0F1CBB">
              <w:rPr>
                <w:sz w:val="20"/>
                <w:szCs w:val="20"/>
                <w:lang w:val="es-ES_tradnl"/>
              </w:rPr>
              <w:t>Kauno</w:t>
            </w:r>
            <w:proofErr w:type="spellEnd"/>
            <w:r w:rsidRPr="000F1CBB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1CBB">
              <w:rPr>
                <w:sz w:val="20"/>
                <w:szCs w:val="20"/>
                <w:lang w:val="es-ES_tradnl"/>
              </w:rPr>
              <w:t>Medicinos</w:t>
            </w:r>
            <w:proofErr w:type="spellEnd"/>
            <w:r w:rsidRPr="000F1CBB">
              <w:rPr>
                <w:sz w:val="20"/>
                <w:szCs w:val="20"/>
                <w:lang w:val="es-ES_tradnl"/>
              </w:rPr>
              <w:t xml:space="preserve"> </w:t>
            </w:r>
            <w:r w:rsidR="00C917E6">
              <w:rPr>
                <w:sz w:val="20"/>
                <w:szCs w:val="20"/>
                <w:lang w:val="es-ES_tradnl"/>
              </w:rPr>
              <w:t>Institutas</w:t>
            </w:r>
            <w:r w:rsidR="00833582" w:rsidRPr="009E41A0">
              <w:rPr>
                <w:sz w:val="20"/>
                <w:szCs w:val="20"/>
                <w:lang w:val="es-ES_tradnl"/>
              </w:rPr>
              <w:t xml:space="preserve">, Kaunas, </w:t>
            </w:r>
            <w:proofErr w:type="spellStart"/>
            <w:r w:rsidR="00833582" w:rsidRPr="009E41A0">
              <w:rPr>
                <w:sz w:val="20"/>
                <w:szCs w:val="20"/>
                <w:lang w:val="es-ES_tradnl"/>
              </w:rPr>
              <w:t>Lietuva</w:t>
            </w:r>
            <w:proofErr w:type="spellEnd"/>
          </w:p>
        </w:tc>
        <w:tc>
          <w:tcPr>
            <w:tcW w:w="3157" w:type="dxa"/>
            <w:gridSpan w:val="4"/>
          </w:tcPr>
          <w:p w:rsidR="00833582" w:rsidRPr="005F05B1" w:rsidRDefault="00C91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 w:rsidR="00833582" w:rsidRPr="005F05B1">
              <w:rPr>
                <w:sz w:val="20"/>
                <w:szCs w:val="20"/>
                <w:lang w:val="de-DE"/>
              </w:rPr>
              <w:t>988</w:t>
            </w:r>
            <w:r w:rsidR="002F06D6" w:rsidRPr="005F05B1">
              <w:rPr>
                <w:sz w:val="20"/>
                <w:szCs w:val="20"/>
                <w:lang w:val="de-DE"/>
              </w:rPr>
              <w:t>, neurologo diplomas</w:t>
            </w:r>
            <w:r w:rsidR="00833582" w:rsidRPr="005F05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240" w:type="dxa"/>
          </w:tcPr>
          <w:p w:rsidR="00833582" w:rsidRPr="005F05B1" w:rsidRDefault="00833582" w:rsidP="004A2CC4">
            <w:pPr>
              <w:rPr>
                <w:sz w:val="20"/>
                <w:szCs w:val="20"/>
              </w:rPr>
            </w:pPr>
            <w:r w:rsidRPr="005F05B1">
              <w:rPr>
                <w:sz w:val="20"/>
                <w:szCs w:val="20"/>
                <w:lang w:val="de-DE"/>
              </w:rPr>
              <w:t>Neurologij</w:t>
            </w:r>
            <w:r w:rsidR="004A2CC4">
              <w:rPr>
                <w:sz w:val="20"/>
                <w:szCs w:val="20"/>
                <w:lang w:val="de-DE"/>
              </w:rPr>
              <w:t>a</w:t>
            </w:r>
          </w:p>
        </w:tc>
      </w:tr>
      <w:tr w:rsidR="006B7272" w:rsidTr="008F7FC6">
        <w:tc>
          <w:tcPr>
            <w:tcW w:w="3863" w:type="dxa"/>
            <w:gridSpan w:val="2"/>
          </w:tcPr>
          <w:p w:rsidR="002F06D6" w:rsidRPr="005F05B1" w:rsidRDefault="002F06D6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sz w:val="20"/>
                <w:szCs w:val="20"/>
              </w:rPr>
              <w:t>Vilniaus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universitetas</w:t>
            </w:r>
            <w:proofErr w:type="spellEnd"/>
            <w:r w:rsidRPr="005F05B1">
              <w:rPr>
                <w:sz w:val="20"/>
                <w:szCs w:val="20"/>
              </w:rPr>
              <w:t xml:space="preserve">, Vilnius, </w:t>
            </w:r>
            <w:proofErr w:type="spellStart"/>
            <w:r w:rsidRPr="005F05B1">
              <w:rPr>
                <w:sz w:val="20"/>
                <w:szCs w:val="20"/>
              </w:rPr>
              <w:t>Lietuva</w:t>
            </w:r>
            <w:proofErr w:type="spellEnd"/>
          </w:p>
        </w:tc>
        <w:tc>
          <w:tcPr>
            <w:tcW w:w="3157" w:type="dxa"/>
            <w:gridSpan w:val="4"/>
          </w:tcPr>
          <w:p w:rsidR="002F06D6" w:rsidRPr="005F05B1" w:rsidRDefault="00C917E6" w:rsidP="00C91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2000, </w:t>
            </w:r>
            <w:proofErr w:type="spellStart"/>
            <w:r w:rsidR="00D673B0">
              <w:rPr>
                <w:sz w:val="20"/>
                <w:szCs w:val="20"/>
              </w:rPr>
              <w:t>Medi</w:t>
            </w:r>
            <w:r w:rsidR="002F06D6" w:rsidRPr="005F05B1">
              <w:rPr>
                <w:sz w:val="20"/>
                <w:szCs w:val="20"/>
              </w:rPr>
              <w:t>cinos</w:t>
            </w:r>
            <w:proofErr w:type="spellEnd"/>
            <w:r w:rsidR="002F06D6" w:rsidRPr="005F05B1">
              <w:rPr>
                <w:sz w:val="20"/>
                <w:szCs w:val="20"/>
              </w:rPr>
              <w:t xml:space="preserve"> </w:t>
            </w:r>
            <w:proofErr w:type="spellStart"/>
            <w:r w:rsidR="002F06D6" w:rsidRPr="005F05B1">
              <w:rPr>
                <w:sz w:val="20"/>
                <w:szCs w:val="20"/>
              </w:rPr>
              <w:t>daktaro</w:t>
            </w:r>
            <w:proofErr w:type="spellEnd"/>
            <w:r w:rsidR="002F06D6" w:rsidRPr="005F05B1">
              <w:rPr>
                <w:sz w:val="20"/>
                <w:szCs w:val="20"/>
              </w:rPr>
              <w:t xml:space="preserve"> </w:t>
            </w:r>
            <w:proofErr w:type="spellStart"/>
            <w:r w:rsidR="002F06D6" w:rsidRPr="005F05B1">
              <w:rPr>
                <w:sz w:val="20"/>
                <w:szCs w:val="20"/>
              </w:rPr>
              <w:t>diserta</w:t>
            </w:r>
            <w:r w:rsidR="00A26638">
              <w:rPr>
                <w:sz w:val="20"/>
                <w:szCs w:val="20"/>
              </w:rPr>
              <w:t>cija</w:t>
            </w:r>
            <w:proofErr w:type="spellEnd"/>
          </w:p>
        </w:tc>
        <w:tc>
          <w:tcPr>
            <w:tcW w:w="3240" w:type="dxa"/>
          </w:tcPr>
          <w:p w:rsidR="002F06D6" w:rsidRPr="005F05B1" w:rsidRDefault="002F06D6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sz w:val="20"/>
                <w:szCs w:val="20"/>
              </w:rPr>
              <w:t>Neurologija</w:t>
            </w:r>
            <w:proofErr w:type="spellEnd"/>
          </w:p>
        </w:tc>
      </w:tr>
      <w:tr w:rsidR="006B7272" w:rsidTr="008F7FC6">
        <w:tc>
          <w:tcPr>
            <w:tcW w:w="3863" w:type="dxa"/>
            <w:gridSpan w:val="2"/>
          </w:tcPr>
          <w:p w:rsidR="00833582" w:rsidRPr="005F05B1" w:rsidRDefault="002F06D6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sz w:val="20"/>
                <w:szCs w:val="20"/>
              </w:rPr>
              <w:t>Demencijos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tyrimų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grupė</w:t>
            </w:r>
            <w:proofErr w:type="spellEnd"/>
            <w:r w:rsidRPr="005F05B1">
              <w:rPr>
                <w:sz w:val="20"/>
                <w:szCs w:val="20"/>
              </w:rPr>
              <w:t xml:space="preserve">, </w:t>
            </w:r>
            <w:proofErr w:type="spellStart"/>
            <w:r w:rsidRPr="005F05B1">
              <w:rPr>
                <w:sz w:val="20"/>
                <w:szCs w:val="20"/>
              </w:rPr>
              <w:t>Nacionalinė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neurologijos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ir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neurochirurgijos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ligoninė</w:t>
            </w:r>
            <w:proofErr w:type="spellEnd"/>
            <w:r w:rsidRPr="005F05B1">
              <w:rPr>
                <w:sz w:val="20"/>
                <w:szCs w:val="20"/>
              </w:rPr>
              <w:t xml:space="preserve">, Queen Square, </w:t>
            </w:r>
            <w:proofErr w:type="spellStart"/>
            <w:r w:rsidRPr="005F05B1">
              <w:rPr>
                <w:sz w:val="20"/>
                <w:szCs w:val="20"/>
              </w:rPr>
              <w:t>Londonas</w:t>
            </w:r>
            <w:proofErr w:type="spellEnd"/>
            <w:r w:rsidRPr="005F05B1">
              <w:rPr>
                <w:sz w:val="20"/>
                <w:szCs w:val="20"/>
              </w:rPr>
              <w:t xml:space="preserve">, </w:t>
            </w:r>
            <w:proofErr w:type="spellStart"/>
            <w:r w:rsidRPr="005F05B1">
              <w:rPr>
                <w:sz w:val="20"/>
                <w:szCs w:val="20"/>
              </w:rPr>
              <w:t>J</w:t>
            </w:r>
            <w:r w:rsidR="00E23383">
              <w:rPr>
                <w:sz w:val="20"/>
                <w:szCs w:val="20"/>
              </w:rPr>
              <w:t>u</w:t>
            </w:r>
            <w:r w:rsidRPr="005F05B1">
              <w:rPr>
                <w:sz w:val="20"/>
                <w:szCs w:val="20"/>
              </w:rPr>
              <w:t>ngtinė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</w:rPr>
              <w:t>Karalystė</w:t>
            </w:r>
            <w:proofErr w:type="spellEnd"/>
          </w:p>
        </w:tc>
        <w:tc>
          <w:tcPr>
            <w:tcW w:w="3157" w:type="dxa"/>
            <w:gridSpan w:val="4"/>
          </w:tcPr>
          <w:p w:rsidR="00833582" w:rsidRPr="005F05B1" w:rsidRDefault="002F06D6" w:rsidP="00C91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5F05B1">
              <w:rPr>
                <w:sz w:val="20"/>
                <w:szCs w:val="20"/>
              </w:rPr>
              <w:t>Sta</w:t>
            </w:r>
            <w:proofErr w:type="spellEnd"/>
            <w:r w:rsidRPr="005F05B1">
              <w:rPr>
                <w:sz w:val="20"/>
                <w:szCs w:val="20"/>
                <w:lang w:val="lt-LT"/>
              </w:rPr>
              <w:t xml:space="preserve">žuotė nuo </w:t>
            </w:r>
            <w:r w:rsidRPr="005F05B1">
              <w:rPr>
                <w:sz w:val="20"/>
                <w:szCs w:val="20"/>
                <w:lang w:val="en-US"/>
              </w:rPr>
              <w:t>2003.11.0</w:t>
            </w:r>
            <w:r w:rsidR="00C917E6">
              <w:rPr>
                <w:sz w:val="20"/>
                <w:szCs w:val="20"/>
                <w:lang w:val="en-US"/>
              </w:rPr>
              <w:t>1.</w:t>
            </w:r>
            <w:r w:rsidRPr="005F05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05B1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5F05B1">
              <w:rPr>
                <w:sz w:val="20"/>
                <w:szCs w:val="20"/>
                <w:lang w:val="en-US"/>
              </w:rPr>
              <w:t xml:space="preserve"> 2004.0</w:t>
            </w:r>
            <w:r w:rsidR="00C917E6">
              <w:rPr>
                <w:sz w:val="20"/>
                <w:szCs w:val="20"/>
                <w:lang w:val="en-US"/>
              </w:rPr>
              <w:t>2.01</w:t>
            </w:r>
            <w:r w:rsidRPr="005F05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</w:tcPr>
          <w:p w:rsidR="00833582" w:rsidRPr="005F05B1" w:rsidRDefault="002F06D6">
            <w:pPr>
              <w:rPr>
                <w:sz w:val="20"/>
                <w:szCs w:val="20"/>
                <w:lang w:val="lt-LT"/>
              </w:rPr>
            </w:pPr>
            <w:proofErr w:type="spellStart"/>
            <w:r w:rsidRPr="005F05B1">
              <w:rPr>
                <w:sz w:val="20"/>
                <w:szCs w:val="20"/>
              </w:rPr>
              <w:t>Kognityvin</w:t>
            </w:r>
            <w:proofErr w:type="spellEnd"/>
            <w:r w:rsidRPr="005F05B1">
              <w:rPr>
                <w:sz w:val="20"/>
                <w:szCs w:val="20"/>
                <w:lang w:val="lt-LT"/>
              </w:rPr>
              <w:t>ė neurologija</w:t>
            </w:r>
          </w:p>
        </w:tc>
      </w:tr>
      <w:tr w:rsidR="00833582" w:rsidRPr="00134CF9" w:rsidTr="008F7FC6">
        <w:trPr>
          <w:cantSplit/>
        </w:trPr>
        <w:tc>
          <w:tcPr>
            <w:tcW w:w="10260" w:type="dxa"/>
            <w:gridSpan w:val="7"/>
          </w:tcPr>
          <w:p w:rsidR="00833582" w:rsidRPr="00134CF9" w:rsidRDefault="00833582">
            <w:pPr>
              <w:rPr>
                <w:sz w:val="16"/>
                <w:szCs w:val="16"/>
              </w:rPr>
            </w:pPr>
          </w:p>
        </w:tc>
      </w:tr>
      <w:tr w:rsidR="00833582" w:rsidTr="00D864F0">
        <w:trPr>
          <w:cantSplit/>
        </w:trPr>
        <w:tc>
          <w:tcPr>
            <w:tcW w:w="10260" w:type="dxa"/>
            <w:gridSpan w:val="7"/>
          </w:tcPr>
          <w:p w:rsidR="00833582" w:rsidRPr="005F05B1" w:rsidRDefault="00833582">
            <w:pPr>
              <w:pStyle w:val="Heading1"/>
              <w:rPr>
                <w:szCs w:val="20"/>
              </w:rPr>
            </w:pPr>
            <w:proofErr w:type="spellStart"/>
            <w:r w:rsidRPr="005F05B1">
              <w:rPr>
                <w:szCs w:val="20"/>
              </w:rPr>
              <w:t>Profesinis</w:t>
            </w:r>
            <w:proofErr w:type="spellEnd"/>
            <w:r w:rsidRPr="005F05B1">
              <w:rPr>
                <w:szCs w:val="20"/>
              </w:rPr>
              <w:t xml:space="preserve"> </w:t>
            </w:r>
            <w:proofErr w:type="spellStart"/>
            <w:r w:rsidRPr="005F05B1">
              <w:rPr>
                <w:szCs w:val="20"/>
              </w:rPr>
              <w:t>patyrimas</w:t>
            </w:r>
            <w:proofErr w:type="spellEnd"/>
          </w:p>
        </w:tc>
      </w:tr>
      <w:tr w:rsidR="006B7272" w:rsidTr="008F7FC6">
        <w:tc>
          <w:tcPr>
            <w:tcW w:w="2614" w:type="dxa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Pareigos</w:t>
            </w:r>
            <w:proofErr w:type="spellEnd"/>
          </w:p>
        </w:tc>
        <w:tc>
          <w:tcPr>
            <w:tcW w:w="4406" w:type="dxa"/>
            <w:gridSpan w:val="5"/>
          </w:tcPr>
          <w:p w:rsidR="00833582" w:rsidRPr="005F05B1" w:rsidRDefault="00833582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Darbovietės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pavadinimas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ir</w:t>
            </w:r>
            <w:proofErr w:type="spellEnd"/>
            <w:r w:rsidRPr="005F05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5B1">
              <w:rPr>
                <w:b/>
                <w:bCs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3240" w:type="dxa"/>
          </w:tcPr>
          <w:p w:rsidR="00833582" w:rsidRPr="005F05B1" w:rsidRDefault="008335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Datos</w:t>
            </w:r>
            <w:proofErr w:type="spellEnd"/>
          </w:p>
        </w:tc>
      </w:tr>
      <w:tr w:rsidR="006B7272" w:rsidTr="008F7FC6">
        <w:tc>
          <w:tcPr>
            <w:tcW w:w="2614" w:type="dxa"/>
          </w:tcPr>
          <w:p w:rsidR="00833582" w:rsidRPr="005F05B1" w:rsidRDefault="00833582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Dabartinės</w:t>
            </w:r>
            <w:proofErr w:type="spellEnd"/>
          </w:p>
        </w:tc>
        <w:tc>
          <w:tcPr>
            <w:tcW w:w="4406" w:type="dxa"/>
            <w:gridSpan w:val="5"/>
          </w:tcPr>
          <w:p w:rsidR="00833582" w:rsidRPr="005F05B1" w:rsidRDefault="0083358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33582" w:rsidRPr="005F05B1" w:rsidRDefault="00833582">
            <w:pPr>
              <w:rPr>
                <w:sz w:val="20"/>
                <w:szCs w:val="20"/>
              </w:rPr>
            </w:pPr>
          </w:p>
        </w:tc>
      </w:tr>
      <w:tr w:rsidR="005F5180" w:rsidRPr="005F5180" w:rsidTr="008F7FC6">
        <w:tc>
          <w:tcPr>
            <w:tcW w:w="2614" w:type="dxa"/>
          </w:tcPr>
          <w:p w:rsidR="005F5180" w:rsidRDefault="005F518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Profesorius </w:t>
            </w:r>
          </w:p>
        </w:tc>
        <w:tc>
          <w:tcPr>
            <w:tcW w:w="4406" w:type="dxa"/>
            <w:gridSpan w:val="5"/>
          </w:tcPr>
          <w:p w:rsidR="005F5180" w:rsidRPr="00493905" w:rsidRDefault="005F5180">
            <w:pPr>
              <w:rPr>
                <w:sz w:val="20"/>
                <w:szCs w:val="20"/>
                <w:lang w:val="de-DE"/>
              </w:rPr>
            </w:pPr>
            <w:r w:rsidRPr="00493905">
              <w:rPr>
                <w:sz w:val="20"/>
                <w:szCs w:val="20"/>
                <w:lang w:val="de-DE"/>
              </w:rPr>
              <w:t xml:space="preserve">VU </w:t>
            </w:r>
            <w:r w:rsidR="00EE612F">
              <w:rPr>
                <w:sz w:val="20"/>
                <w:szCs w:val="20"/>
                <w:lang w:val="de-DE"/>
              </w:rPr>
              <w:t xml:space="preserve">MF Klinikinės medicinos institutas, </w:t>
            </w:r>
            <w:r w:rsidRPr="00493905">
              <w:rPr>
                <w:sz w:val="20"/>
                <w:szCs w:val="20"/>
                <w:lang w:val="de-DE"/>
              </w:rPr>
              <w:t>Neurologijos ir neurochirurgijos klinika, VULSK,  Santarišk</w:t>
            </w:r>
            <w:r>
              <w:rPr>
                <w:sz w:val="20"/>
                <w:szCs w:val="20"/>
                <w:lang w:val="de-DE"/>
              </w:rPr>
              <w:t>ių 2, Vilnius, LT-08661</w:t>
            </w:r>
            <w:r w:rsidRPr="0049390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3240" w:type="dxa"/>
          </w:tcPr>
          <w:p w:rsidR="005F5180" w:rsidRPr="005F5180" w:rsidRDefault="005F5180" w:rsidP="00913B1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Nuo 2012 </w:t>
            </w:r>
          </w:p>
        </w:tc>
      </w:tr>
      <w:tr w:rsidR="006B7272" w:rsidTr="008F7FC6">
        <w:tc>
          <w:tcPr>
            <w:tcW w:w="2614" w:type="dxa"/>
          </w:tcPr>
          <w:p w:rsidR="000F1CBB" w:rsidRPr="005F05B1" w:rsidRDefault="003C0B5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VULSK Neurologijos centro vadovas</w:t>
            </w:r>
          </w:p>
        </w:tc>
        <w:tc>
          <w:tcPr>
            <w:tcW w:w="4406" w:type="dxa"/>
            <w:gridSpan w:val="5"/>
          </w:tcPr>
          <w:p w:rsidR="000F1CBB" w:rsidRPr="00493905" w:rsidRDefault="003C0B5A" w:rsidP="00EE612F">
            <w:pPr>
              <w:rPr>
                <w:sz w:val="20"/>
                <w:szCs w:val="20"/>
                <w:lang w:val="de-DE"/>
              </w:rPr>
            </w:pPr>
            <w:r w:rsidRPr="003C0B5A">
              <w:rPr>
                <w:sz w:val="20"/>
                <w:szCs w:val="20"/>
                <w:lang w:val="lt-LT"/>
              </w:rPr>
              <w:t>Neurologijos centras, VU ligoninė Santar</w:t>
            </w:r>
            <w:r w:rsidR="00EE612F">
              <w:rPr>
                <w:sz w:val="20"/>
                <w:szCs w:val="20"/>
                <w:lang w:val="lt-LT"/>
              </w:rPr>
              <w:t>os</w:t>
            </w:r>
            <w:r w:rsidRPr="003C0B5A">
              <w:rPr>
                <w:sz w:val="20"/>
                <w:szCs w:val="20"/>
                <w:lang w:val="lt-LT"/>
              </w:rPr>
              <w:t xml:space="preserve"> klinikos, Santariškių 2, Vilnius, LT-08661.</w:t>
            </w:r>
          </w:p>
        </w:tc>
        <w:tc>
          <w:tcPr>
            <w:tcW w:w="3240" w:type="dxa"/>
          </w:tcPr>
          <w:p w:rsidR="000F1CBB" w:rsidRPr="005F05B1" w:rsidRDefault="003C0B5A" w:rsidP="00913B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Nuo</w:t>
            </w:r>
            <w:proofErr w:type="spellEnd"/>
            <w:r>
              <w:rPr>
                <w:sz w:val="20"/>
                <w:szCs w:val="20"/>
              </w:rPr>
              <w:t xml:space="preserve"> 2015 </w:t>
            </w:r>
          </w:p>
        </w:tc>
      </w:tr>
      <w:tr w:rsidR="006B7272" w:rsidTr="008F7FC6">
        <w:tc>
          <w:tcPr>
            <w:tcW w:w="2614" w:type="dxa"/>
          </w:tcPr>
          <w:p w:rsidR="00833582" w:rsidRPr="005F05B1" w:rsidRDefault="00833582">
            <w:pPr>
              <w:rPr>
                <w:sz w:val="20"/>
                <w:szCs w:val="20"/>
                <w:lang w:val="lt-LT"/>
              </w:rPr>
            </w:pPr>
            <w:r w:rsidRPr="005F05B1">
              <w:rPr>
                <w:sz w:val="20"/>
                <w:szCs w:val="20"/>
                <w:lang w:val="de-DE"/>
              </w:rPr>
              <w:t>Gydytojas neurologas</w:t>
            </w:r>
          </w:p>
        </w:tc>
        <w:tc>
          <w:tcPr>
            <w:tcW w:w="4406" w:type="dxa"/>
            <w:gridSpan w:val="5"/>
          </w:tcPr>
          <w:p w:rsidR="00833582" w:rsidRPr="005F05B1" w:rsidRDefault="00241E88" w:rsidP="00EE612F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Neurologijos centras, </w:t>
            </w:r>
            <w:r w:rsidR="00833582" w:rsidRPr="005F05B1">
              <w:rPr>
                <w:sz w:val="20"/>
                <w:szCs w:val="20"/>
                <w:lang w:val="lt-LT"/>
              </w:rPr>
              <w:t>VU ligoninė Santar</w:t>
            </w:r>
            <w:r w:rsidR="00EE612F">
              <w:rPr>
                <w:sz w:val="20"/>
                <w:szCs w:val="20"/>
                <w:lang w:val="lt-LT"/>
              </w:rPr>
              <w:t>os</w:t>
            </w:r>
            <w:r w:rsidR="00833582" w:rsidRPr="005F05B1">
              <w:rPr>
                <w:sz w:val="20"/>
                <w:szCs w:val="20"/>
                <w:lang w:val="lt-LT"/>
              </w:rPr>
              <w:t xml:space="preserve"> klinikos, Santariškių 2, Vilnius, LT-</w:t>
            </w:r>
            <w:r w:rsidR="000C31D7">
              <w:rPr>
                <w:sz w:val="20"/>
                <w:szCs w:val="20"/>
                <w:lang w:val="lt-LT"/>
              </w:rPr>
              <w:t>08661</w:t>
            </w:r>
            <w:r w:rsidR="00833582" w:rsidRPr="005F05B1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3240" w:type="dxa"/>
          </w:tcPr>
          <w:p w:rsidR="00833582" w:rsidRPr="005F05B1" w:rsidRDefault="00833582" w:rsidP="00913B1C">
            <w:pPr>
              <w:rPr>
                <w:sz w:val="20"/>
                <w:szCs w:val="20"/>
                <w:lang w:val="en-US"/>
              </w:rPr>
            </w:pPr>
            <w:proofErr w:type="spellStart"/>
            <w:r w:rsidRPr="005F05B1">
              <w:rPr>
                <w:sz w:val="20"/>
                <w:szCs w:val="20"/>
              </w:rPr>
              <w:t>Nuo</w:t>
            </w:r>
            <w:proofErr w:type="spellEnd"/>
            <w:r w:rsidRPr="005F05B1">
              <w:rPr>
                <w:sz w:val="20"/>
                <w:szCs w:val="20"/>
              </w:rPr>
              <w:t xml:space="preserve"> </w:t>
            </w:r>
            <w:r w:rsidRPr="005F05B1">
              <w:rPr>
                <w:sz w:val="20"/>
                <w:szCs w:val="20"/>
                <w:lang w:val="en-US"/>
              </w:rPr>
              <w:t>1994</w:t>
            </w:r>
          </w:p>
        </w:tc>
      </w:tr>
      <w:tr w:rsidR="006B7272" w:rsidTr="008F7FC6">
        <w:tc>
          <w:tcPr>
            <w:tcW w:w="2614" w:type="dxa"/>
          </w:tcPr>
          <w:p w:rsidR="00833582" w:rsidRPr="005F05B1" w:rsidRDefault="00833582">
            <w:pPr>
              <w:rPr>
                <w:sz w:val="20"/>
                <w:szCs w:val="20"/>
              </w:rPr>
            </w:pPr>
            <w:proofErr w:type="spellStart"/>
            <w:r w:rsidRPr="005F05B1">
              <w:rPr>
                <w:b/>
                <w:bCs/>
                <w:sz w:val="20"/>
                <w:szCs w:val="20"/>
              </w:rPr>
              <w:t>Ankstesnės</w:t>
            </w:r>
            <w:proofErr w:type="spellEnd"/>
          </w:p>
        </w:tc>
        <w:tc>
          <w:tcPr>
            <w:tcW w:w="4406" w:type="dxa"/>
            <w:gridSpan w:val="5"/>
          </w:tcPr>
          <w:p w:rsidR="00833582" w:rsidRPr="005F05B1" w:rsidRDefault="0083358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33582" w:rsidRPr="005F05B1" w:rsidRDefault="00833582">
            <w:pPr>
              <w:rPr>
                <w:sz w:val="20"/>
                <w:szCs w:val="20"/>
              </w:rPr>
            </w:pPr>
          </w:p>
        </w:tc>
      </w:tr>
      <w:tr w:rsidR="005F5180" w:rsidRPr="00304D2A" w:rsidTr="008F7FC6">
        <w:tc>
          <w:tcPr>
            <w:tcW w:w="2614" w:type="dxa"/>
          </w:tcPr>
          <w:p w:rsidR="005F5180" w:rsidRDefault="005F5180" w:rsidP="0018564F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0F1CBB">
              <w:rPr>
                <w:sz w:val="20"/>
                <w:szCs w:val="20"/>
              </w:rPr>
              <w:t>ektorius</w:t>
            </w:r>
            <w:proofErr w:type="spellEnd"/>
          </w:p>
        </w:tc>
        <w:tc>
          <w:tcPr>
            <w:tcW w:w="4406" w:type="dxa"/>
            <w:gridSpan w:val="5"/>
          </w:tcPr>
          <w:p w:rsidR="005F5180" w:rsidRPr="005F05B1" w:rsidRDefault="005F5180" w:rsidP="0018564F">
            <w:pPr>
              <w:rPr>
                <w:sz w:val="20"/>
                <w:szCs w:val="20"/>
                <w:lang w:val="de-DE"/>
              </w:rPr>
            </w:pPr>
            <w:r w:rsidRPr="00304D2A">
              <w:rPr>
                <w:sz w:val="20"/>
                <w:szCs w:val="20"/>
                <w:lang w:val="de-DE"/>
              </w:rPr>
              <w:t>VU Neurologijos ir neurochirurgijos klinika, VULSK,  Santariškių 2, Vilnius, LT-08661.</w:t>
            </w:r>
          </w:p>
        </w:tc>
        <w:tc>
          <w:tcPr>
            <w:tcW w:w="3240" w:type="dxa"/>
          </w:tcPr>
          <w:p w:rsidR="005F5180" w:rsidRPr="005F05B1" w:rsidRDefault="005F5180" w:rsidP="00B05A12">
            <w:pPr>
              <w:rPr>
                <w:sz w:val="20"/>
                <w:szCs w:val="20"/>
                <w:lang w:val="de-DE"/>
              </w:rPr>
            </w:pPr>
            <w:r w:rsidRPr="005F05B1">
              <w:rPr>
                <w:sz w:val="20"/>
                <w:szCs w:val="20"/>
              </w:rPr>
              <w:t>1995</w:t>
            </w:r>
            <w:r>
              <w:rPr>
                <w:sz w:val="20"/>
                <w:szCs w:val="20"/>
              </w:rPr>
              <w:t xml:space="preserve"> </w:t>
            </w:r>
            <w:r w:rsidR="00B05A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2007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F5180" w:rsidRPr="00304D2A" w:rsidTr="008F7FC6">
        <w:tc>
          <w:tcPr>
            <w:tcW w:w="2614" w:type="dxa"/>
          </w:tcPr>
          <w:p w:rsidR="005F5180" w:rsidRPr="005F05B1" w:rsidRDefault="005F5180" w:rsidP="0018564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Docentas</w:t>
            </w:r>
          </w:p>
        </w:tc>
        <w:tc>
          <w:tcPr>
            <w:tcW w:w="4406" w:type="dxa"/>
            <w:gridSpan w:val="5"/>
          </w:tcPr>
          <w:p w:rsidR="005F5180" w:rsidRPr="00493905" w:rsidRDefault="005F5180" w:rsidP="0018564F">
            <w:pPr>
              <w:rPr>
                <w:sz w:val="20"/>
                <w:szCs w:val="20"/>
                <w:lang w:val="de-DE"/>
              </w:rPr>
            </w:pPr>
            <w:r w:rsidRPr="00493905">
              <w:rPr>
                <w:sz w:val="20"/>
                <w:szCs w:val="20"/>
                <w:lang w:val="de-DE"/>
              </w:rPr>
              <w:t>VU Neurologijos ir neurochirurgijos klinika, VULSK,  Santarišk</w:t>
            </w:r>
            <w:r>
              <w:rPr>
                <w:sz w:val="20"/>
                <w:szCs w:val="20"/>
                <w:lang w:val="de-DE"/>
              </w:rPr>
              <w:t>ių 2, Vilnius, LT-08661</w:t>
            </w:r>
            <w:r w:rsidRPr="0049390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3240" w:type="dxa"/>
          </w:tcPr>
          <w:p w:rsidR="005F5180" w:rsidRPr="005F05B1" w:rsidRDefault="005F5180" w:rsidP="0091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2007</w:t>
            </w:r>
            <w:r w:rsidR="00913B1C">
              <w:rPr>
                <w:sz w:val="20"/>
                <w:szCs w:val="20"/>
                <w:lang w:val="lt-LT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2012</w:t>
            </w:r>
          </w:p>
        </w:tc>
      </w:tr>
      <w:tr w:rsidR="005F5180" w:rsidRPr="005945D9" w:rsidTr="008F7FC6">
        <w:tc>
          <w:tcPr>
            <w:tcW w:w="2614" w:type="dxa"/>
          </w:tcPr>
          <w:p w:rsidR="005F5180" w:rsidRPr="005945D9" w:rsidRDefault="005F5180" w:rsidP="0018564F">
            <w:pPr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5"/>
          </w:tcPr>
          <w:p w:rsidR="005F5180" w:rsidRPr="005945D9" w:rsidRDefault="005F5180" w:rsidP="0018564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</w:tcPr>
          <w:p w:rsidR="005F5180" w:rsidRPr="005945D9" w:rsidRDefault="005F5180" w:rsidP="0018564F">
            <w:pPr>
              <w:rPr>
                <w:sz w:val="16"/>
                <w:szCs w:val="16"/>
              </w:rPr>
            </w:pPr>
          </w:p>
        </w:tc>
      </w:tr>
      <w:tr w:rsidR="005F5180" w:rsidRPr="00304D2A" w:rsidTr="008F7FC6">
        <w:tc>
          <w:tcPr>
            <w:tcW w:w="10260" w:type="dxa"/>
            <w:gridSpan w:val="7"/>
          </w:tcPr>
          <w:p w:rsidR="005F5180" w:rsidRPr="00960A0D" w:rsidRDefault="005F5180" w:rsidP="00960A0D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60A0D">
              <w:rPr>
                <w:b/>
                <w:bCs/>
                <w:sz w:val="20"/>
                <w:szCs w:val="20"/>
                <w:lang w:val="de-DE"/>
              </w:rPr>
              <w:t>Klinikini</w:t>
            </w:r>
            <w:r w:rsidRPr="00960A0D">
              <w:rPr>
                <w:b/>
                <w:bCs/>
                <w:sz w:val="20"/>
                <w:szCs w:val="20"/>
                <w:lang w:val="lt-LT"/>
              </w:rPr>
              <w:t>ų tyrimų patyrimas</w:t>
            </w:r>
          </w:p>
        </w:tc>
      </w:tr>
      <w:tr w:rsidR="005F5180" w:rsidRPr="00EF5B3B" w:rsidTr="00982A15">
        <w:tc>
          <w:tcPr>
            <w:tcW w:w="10260" w:type="dxa"/>
            <w:gridSpan w:val="7"/>
          </w:tcPr>
          <w:p w:rsidR="005F5180" w:rsidRPr="000C31D7" w:rsidRDefault="005F5180" w:rsidP="00C917E6">
            <w:pPr>
              <w:rPr>
                <w:sz w:val="20"/>
                <w:szCs w:val="20"/>
                <w:lang w:val="de-DE"/>
              </w:rPr>
            </w:pPr>
            <w:r w:rsidRPr="000C31D7">
              <w:rPr>
                <w:sz w:val="20"/>
                <w:szCs w:val="20"/>
                <w:lang w:val="de-DE"/>
              </w:rPr>
              <w:t xml:space="preserve">Pagrindinis tyrėjas klinikiniuose tyrimuose: </w:t>
            </w:r>
            <w:r w:rsidR="00C917E6">
              <w:rPr>
                <w:sz w:val="20"/>
                <w:szCs w:val="20"/>
                <w:lang w:val="de-DE"/>
              </w:rPr>
              <w:t>7</w:t>
            </w:r>
            <w:r w:rsidRPr="000C31D7">
              <w:rPr>
                <w:sz w:val="20"/>
                <w:szCs w:val="20"/>
                <w:lang w:val="de-DE"/>
              </w:rPr>
              <w:t xml:space="preserve"> Alz</w:t>
            </w:r>
            <w:r w:rsidR="00002168">
              <w:rPr>
                <w:sz w:val="20"/>
                <w:szCs w:val="20"/>
                <w:lang w:val="de-DE"/>
              </w:rPr>
              <w:t>heimerio ligos, 1 epilepsijos, 2</w:t>
            </w:r>
            <w:r w:rsidRPr="000C31D7">
              <w:rPr>
                <w:sz w:val="20"/>
                <w:szCs w:val="20"/>
                <w:lang w:val="de-DE"/>
              </w:rPr>
              <w:t xml:space="preserve"> išsėtinės sklerozės, 1 Parkinsono ligos, 4 diabetinės neuropatijos gydymo tyrimuose. Tyrėjas klinikiniuose tyrimuose: 5 migrenos, 4 Alzheimerio ligos, 5 Parkinsono ligos, 14 epilepsijos gydymo, 2 insulto profilaktikos, </w:t>
            </w:r>
            <w:r w:rsidR="00866674">
              <w:rPr>
                <w:sz w:val="20"/>
                <w:szCs w:val="20"/>
                <w:lang w:val="de-DE"/>
              </w:rPr>
              <w:t>4</w:t>
            </w:r>
            <w:r w:rsidRPr="000C31D7">
              <w:rPr>
                <w:sz w:val="20"/>
                <w:szCs w:val="20"/>
                <w:lang w:val="de-DE"/>
              </w:rPr>
              <w:t xml:space="preserve"> išsėtinės skleroz</w:t>
            </w:r>
            <w:r w:rsidRPr="000C31D7">
              <w:rPr>
                <w:sz w:val="20"/>
                <w:szCs w:val="20"/>
                <w:lang w:val="lt-LT"/>
              </w:rPr>
              <w:t>ė</w:t>
            </w:r>
            <w:r w:rsidRPr="000C31D7">
              <w:rPr>
                <w:sz w:val="20"/>
                <w:szCs w:val="20"/>
                <w:lang w:val="de-DE"/>
              </w:rPr>
              <w:t xml:space="preserve">s gydymo. </w:t>
            </w:r>
          </w:p>
        </w:tc>
      </w:tr>
      <w:tr w:rsidR="005F5180" w:rsidRPr="00E43E47" w:rsidTr="00D864F0">
        <w:trPr>
          <w:cantSplit/>
        </w:trPr>
        <w:tc>
          <w:tcPr>
            <w:tcW w:w="10260" w:type="dxa"/>
            <w:gridSpan w:val="7"/>
          </w:tcPr>
          <w:p w:rsidR="005F5180" w:rsidRPr="005945D9" w:rsidRDefault="005F518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84"/>
            </w:tblGrid>
            <w:tr w:rsidR="005F5180" w:rsidTr="00982A15">
              <w:trPr>
                <w:cantSplit/>
              </w:trPr>
              <w:tc>
                <w:tcPr>
                  <w:tcW w:w="9484" w:type="dxa"/>
                </w:tcPr>
                <w:p w:rsidR="005F5180" w:rsidRDefault="00B17139" w:rsidP="00B17139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Kvalifikacij</w:t>
                  </w:r>
                  <w:proofErr w:type="spellEnd"/>
                  <w:r>
                    <w:rPr>
                      <w:b/>
                      <w:bCs/>
                      <w:sz w:val="20"/>
                      <w:lang w:val="lt-LT"/>
                    </w:rPr>
                    <w:t xml:space="preserve">ą ptvirtinantys </w:t>
                  </w:r>
                  <w:proofErr w:type="spellStart"/>
                  <w:r w:rsidR="005F5180">
                    <w:rPr>
                      <w:b/>
                      <w:bCs/>
                      <w:sz w:val="20"/>
                    </w:rPr>
                    <w:t>dokumentai</w:t>
                  </w:r>
                  <w:proofErr w:type="spellEnd"/>
                </w:p>
              </w:tc>
            </w:tr>
            <w:tr w:rsidR="005F5180" w:rsidRPr="00BD11E3" w:rsidTr="00982A15">
              <w:trPr>
                <w:cantSplit/>
              </w:trPr>
              <w:tc>
                <w:tcPr>
                  <w:tcW w:w="9484" w:type="dxa"/>
                </w:tcPr>
                <w:p w:rsidR="005F5180" w:rsidRDefault="005F5180" w:rsidP="009E41A0">
                  <w:pPr>
                    <w:rPr>
                      <w:sz w:val="20"/>
                      <w:szCs w:val="20"/>
                      <w:lang w:val="lt-LT"/>
                    </w:rPr>
                  </w:pPr>
                  <w:r>
                    <w:rPr>
                      <w:sz w:val="20"/>
                      <w:szCs w:val="20"/>
                      <w:lang w:val="lt-LT"/>
                    </w:rPr>
                    <w:t xml:space="preserve">Gydytojo neurologo medicinos praktikos licencija </w:t>
                  </w:r>
                  <w:r w:rsidRPr="006804F9">
                    <w:rPr>
                      <w:sz w:val="22"/>
                      <w:szCs w:val="22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Pr="006804F9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MPL-12365.</w:t>
                  </w:r>
                </w:p>
                <w:p w:rsidR="005F5180" w:rsidRPr="00E43E47" w:rsidRDefault="00E43E47" w:rsidP="004F1590">
                  <w:pPr>
                    <w:ind w:right="-254"/>
                    <w:rPr>
                      <w:sz w:val="20"/>
                      <w:szCs w:val="20"/>
                      <w:lang w:val="lt-LT"/>
                    </w:rPr>
                  </w:pPr>
                  <w:r>
                    <w:rPr>
                      <w:sz w:val="20"/>
                      <w:szCs w:val="20"/>
                      <w:lang w:val="lt-LT"/>
                    </w:rPr>
                    <w:t>G</w:t>
                  </w:r>
                  <w:r w:rsidR="005F5180">
                    <w:rPr>
                      <w:sz w:val="20"/>
                      <w:szCs w:val="20"/>
                      <w:lang w:val="lt-LT"/>
                    </w:rPr>
                    <w:t xml:space="preserve">eros klinikinės </w:t>
                  </w:r>
                  <w:r w:rsidR="005F5180" w:rsidRPr="00E43E47">
                    <w:rPr>
                      <w:sz w:val="20"/>
                      <w:szCs w:val="20"/>
                      <w:lang w:val="lt-LT"/>
                    </w:rPr>
                    <w:t xml:space="preserve">praktikos </w:t>
                  </w:r>
                  <w:r w:rsidR="00C917E6">
                    <w:rPr>
                      <w:sz w:val="20"/>
                      <w:szCs w:val="20"/>
                      <w:lang w:val="lt-LT"/>
                    </w:rPr>
                    <w:t>sertifikatai:</w:t>
                  </w:r>
                  <w:r w:rsidR="005F5180" w:rsidRPr="00E43E47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="00B72609">
                    <w:rPr>
                      <w:sz w:val="20"/>
                      <w:szCs w:val="20"/>
                      <w:lang w:val="lt-LT"/>
                    </w:rPr>
                    <w:t>ICON 8 val</w:t>
                  </w:r>
                  <w:r w:rsidR="00B5791F">
                    <w:rPr>
                      <w:sz w:val="20"/>
                      <w:szCs w:val="20"/>
                      <w:lang w:val="lt-LT"/>
                    </w:rPr>
                    <w:t>.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="00B5791F">
                    <w:rPr>
                      <w:sz w:val="20"/>
                      <w:szCs w:val="20"/>
                      <w:lang w:val="lt-LT"/>
                    </w:rPr>
                    <w:t>-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Pr="00E43E47">
                    <w:rPr>
                      <w:sz w:val="20"/>
                      <w:szCs w:val="20"/>
                      <w:lang w:val="lt-LT"/>
                    </w:rPr>
                    <w:t>20</w:t>
                  </w:r>
                  <w:r w:rsidR="00B72609">
                    <w:rPr>
                      <w:sz w:val="20"/>
                      <w:szCs w:val="20"/>
                      <w:lang w:val="lt-LT"/>
                    </w:rPr>
                    <w:t>13</w:t>
                  </w:r>
                  <w:r w:rsidRPr="00E43E47">
                    <w:rPr>
                      <w:sz w:val="20"/>
                      <w:szCs w:val="20"/>
                      <w:lang w:val="lt-LT"/>
                    </w:rPr>
                    <w:t>.</w:t>
                  </w:r>
                  <w:r w:rsidR="00B72609">
                    <w:rPr>
                      <w:sz w:val="20"/>
                      <w:szCs w:val="20"/>
                      <w:lang w:val="lt-LT"/>
                    </w:rPr>
                    <w:t>07</w:t>
                  </w:r>
                  <w:r w:rsidRPr="00E43E47">
                    <w:rPr>
                      <w:sz w:val="20"/>
                      <w:szCs w:val="20"/>
                      <w:lang w:val="lt-LT"/>
                    </w:rPr>
                    <w:t>.</w:t>
                  </w:r>
                  <w:r w:rsidR="00B72609">
                    <w:rPr>
                      <w:sz w:val="20"/>
                      <w:szCs w:val="20"/>
                      <w:lang w:val="lt-LT"/>
                    </w:rPr>
                    <w:t>25.</w:t>
                  </w:r>
                  <w:r w:rsidR="00C917E6">
                    <w:rPr>
                      <w:sz w:val="20"/>
                      <w:szCs w:val="20"/>
                      <w:lang w:val="lt-LT"/>
                    </w:rPr>
                    <w:t>,</w:t>
                  </w:r>
                  <w:r w:rsidR="00B72609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IQVIA </w:t>
                  </w:r>
                  <w:r w:rsidR="00B5791F" w:rsidRPr="00B5791F">
                    <w:rPr>
                      <w:sz w:val="20"/>
                      <w:szCs w:val="20"/>
                      <w:lang w:val="lt-LT"/>
                    </w:rPr>
                    <w:t>-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="00B5791F" w:rsidRPr="00B5791F">
                    <w:rPr>
                      <w:sz w:val="20"/>
                      <w:szCs w:val="20"/>
                      <w:lang w:val="lt-LT"/>
                    </w:rPr>
                    <w:t xml:space="preserve">4 </w:t>
                  </w:r>
                  <w:r w:rsidR="00B5791F">
                    <w:rPr>
                      <w:sz w:val="20"/>
                      <w:szCs w:val="20"/>
                      <w:lang w:val="lt-LT"/>
                    </w:rPr>
                    <w:t>val.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 </w:t>
                  </w:r>
                  <w:r w:rsidR="00B5791F" w:rsidRPr="00B5791F">
                    <w:rPr>
                      <w:sz w:val="20"/>
                      <w:szCs w:val="20"/>
                      <w:lang w:val="lt-LT"/>
                    </w:rPr>
                    <w:t>–</w:t>
                  </w:r>
                  <w:r w:rsidR="004F1590">
                    <w:rPr>
                      <w:sz w:val="20"/>
                      <w:szCs w:val="20"/>
                      <w:lang w:val="lt-LT"/>
                    </w:rPr>
                    <w:t xml:space="preserve"> 2018.06.11.</w:t>
                  </w:r>
                </w:p>
              </w:tc>
            </w:tr>
          </w:tbl>
          <w:p w:rsidR="005F5180" w:rsidRPr="00E43E47" w:rsidRDefault="005F5180">
            <w:pPr>
              <w:rPr>
                <w:b/>
                <w:bCs/>
                <w:sz w:val="20"/>
                <w:lang w:val="lt-LT"/>
              </w:rPr>
            </w:pPr>
          </w:p>
        </w:tc>
      </w:tr>
      <w:tr w:rsidR="00D864F0" w:rsidRPr="00A44529" w:rsidTr="00982A15">
        <w:trPr>
          <w:cantSplit/>
        </w:trPr>
        <w:tc>
          <w:tcPr>
            <w:tcW w:w="10260" w:type="dxa"/>
            <w:gridSpan w:val="7"/>
          </w:tcPr>
          <w:p w:rsidR="00D864F0" w:rsidRDefault="00D864F0" w:rsidP="0018564F">
            <w:pPr>
              <w:rPr>
                <w:sz w:val="16"/>
                <w:szCs w:val="16"/>
                <w:lang w:val="lt-LT"/>
              </w:rPr>
            </w:pPr>
          </w:p>
          <w:p w:rsidR="00D864F0" w:rsidRPr="00EE1433" w:rsidRDefault="00D864F0" w:rsidP="0018564F">
            <w:pPr>
              <w:rPr>
                <w:sz w:val="16"/>
                <w:szCs w:val="16"/>
                <w:lang w:val="lt-LT"/>
              </w:rPr>
            </w:pPr>
          </w:p>
        </w:tc>
      </w:tr>
      <w:tr w:rsidR="00743D9D" w:rsidRPr="00DA40CA" w:rsidTr="00982A15">
        <w:trPr>
          <w:cantSplit/>
        </w:trPr>
        <w:tc>
          <w:tcPr>
            <w:tcW w:w="10260" w:type="dxa"/>
            <w:gridSpan w:val="7"/>
          </w:tcPr>
          <w:p w:rsidR="00743D9D" w:rsidRPr="00BC7E2B" w:rsidRDefault="00BC7E2B">
            <w:pPr>
              <w:rPr>
                <w:b/>
                <w:sz w:val="20"/>
                <w:szCs w:val="20"/>
              </w:rPr>
            </w:pPr>
            <w:proofErr w:type="spellStart"/>
            <w:r w:rsidRPr="00BC7E2B">
              <w:rPr>
                <w:b/>
                <w:sz w:val="20"/>
                <w:szCs w:val="20"/>
              </w:rPr>
              <w:lastRenderedPageBreak/>
              <w:t>Publikacijos</w:t>
            </w:r>
            <w:proofErr w:type="spellEnd"/>
          </w:p>
          <w:p w:rsidR="00EE1433" w:rsidRPr="00334AFF" w:rsidRDefault="00EE1433">
            <w:pPr>
              <w:rPr>
                <w:sz w:val="16"/>
                <w:szCs w:val="16"/>
              </w:rPr>
            </w:pP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</w:t>
            </w:r>
            <w:r w:rsidRPr="004F1590">
              <w:rPr>
                <w:sz w:val="16"/>
                <w:szCs w:val="16"/>
              </w:rPr>
              <w:t xml:space="preserve">. Giedraitiene N,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>. Distinctive Pattern of Cognitive Disorders During Multiple Sclerosis Relapse and Recovery Based on Computerized CANTAB Tests. Front Neurol. 2019 Jun 04</w:t>
            </w:r>
            <w:proofErr w:type="gramStart"/>
            <w:r w:rsidRPr="004F1590">
              <w:rPr>
                <w:sz w:val="16"/>
                <w:szCs w:val="16"/>
              </w:rPr>
              <w:t>;10:572</w:t>
            </w:r>
            <w:proofErr w:type="gramEnd"/>
            <w:r w:rsidRPr="004F1590">
              <w:rPr>
                <w:sz w:val="16"/>
                <w:szCs w:val="16"/>
              </w:rPr>
              <w:t xml:space="preserve">. </w:t>
            </w:r>
            <w:proofErr w:type="spellStart"/>
            <w:r w:rsidRPr="004F1590">
              <w:rPr>
                <w:sz w:val="16"/>
                <w:szCs w:val="16"/>
              </w:rPr>
              <w:t>doi</w:t>
            </w:r>
            <w:proofErr w:type="spellEnd"/>
            <w:r w:rsidRPr="004F1590">
              <w:rPr>
                <w:sz w:val="16"/>
                <w:szCs w:val="16"/>
              </w:rPr>
              <w:t>: 10.3389/fneur.2019.00572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2</w:t>
            </w:r>
            <w:r w:rsidRPr="004F1590">
              <w:rPr>
                <w:sz w:val="16"/>
                <w:szCs w:val="16"/>
              </w:rPr>
              <w:t>. Sakalauskaitė-</w:t>
            </w:r>
            <w:proofErr w:type="spellStart"/>
            <w:r w:rsidRPr="004F1590">
              <w:rPr>
                <w:sz w:val="16"/>
                <w:szCs w:val="16"/>
              </w:rPr>
              <w:t>Juodeikienė</w:t>
            </w:r>
            <w:proofErr w:type="spellEnd"/>
            <w:r w:rsidRPr="004F1590">
              <w:rPr>
                <w:sz w:val="16"/>
                <w:szCs w:val="16"/>
              </w:rPr>
              <w:t xml:space="preserve"> E, </w:t>
            </w:r>
            <w:proofErr w:type="spellStart"/>
            <w:r w:rsidRPr="004F1590">
              <w:rPr>
                <w:sz w:val="16"/>
                <w:szCs w:val="16"/>
              </w:rPr>
              <w:t>Armalienė</w:t>
            </w:r>
            <w:proofErr w:type="spellEnd"/>
            <w:r w:rsidRPr="004F1590">
              <w:rPr>
                <w:sz w:val="16"/>
                <w:szCs w:val="16"/>
              </w:rPr>
              <w:t xml:space="preserve"> G, Kizlaitienė R, Bagdonaitė L, Giedraitienė N, </w:t>
            </w:r>
            <w:proofErr w:type="spellStart"/>
            <w:r w:rsidRPr="004F1590">
              <w:rPr>
                <w:sz w:val="16"/>
                <w:szCs w:val="16"/>
              </w:rPr>
              <w:t>Mickevičienė</w:t>
            </w:r>
            <w:proofErr w:type="spellEnd"/>
            <w:r w:rsidRPr="004F1590">
              <w:rPr>
                <w:sz w:val="16"/>
                <w:szCs w:val="16"/>
              </w:rPr>
              <w:t xml:space="preserve"> D, </w:t>
            </w:r>
            <w:proofErr w:type="spellStart"/>
            <w:r w:rsidRPr="004F1590">
              <w:rPr>
                <w:sz w:val="16"/>
                <w:szCs w:val="16"/>
              </w:rPr>
              <w:t>Rastenytė</w:t>
            </w:r>
            <w:proofErr w:type="spellEnd"/>
            <w:r w:rsidRPr="004F1590">
              <w:rPr>
                <w:sz w:val="16"/>
                <w:szCs w:val="16"/>
              </w:rPr>
              <w:t xml:space="preserve"> D,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Jatužis D. Detection of aquaporin-4 antibodies for patients with CNS inflammatory demyelinating diseases other than typical MS in Lithuania. Brain </w:t>
            </w:r>
            <w:proofErr w:type="spellStart"/>
            <w:r w:rsidRPr="004F1590">
              <w:rPr>
                <w:sz w:val="16"/>
                <w:szCs w:val="16"/>
              </w:rPr>
              <w:t>Behav</w:t>
            </w:r>
            <w:proofErr w:type="spellEnd"/>
            <w:r w:rsidRPr="004F1590">
              <w:rPr>
                <w:sz w:val="16"/>
                <w:szCs w:val="16"/>
              </w:rPr>
              <w:t>. 2018 Nov</w:t>
            </w:r>
            <w:proofErr w:type="gramStart"/>
            <w:r w:rsidRPr="004F1590">
              <w:rPr>
                <w:sz w:val="16"/>
                <w:szCs w:val="16"/>
              </w:rPr>
              <w:t>;8</w:t>
            </w:r>
            <w:proofErr w:type="gramEnd"/>
            <w:r w:rsidRPr="004F1590">
              <w:rPr>
                <w:sz w:val="16"/>
                <w:szCs w:val="16"/>
              </w:rPr>
              <w:t xml:space="preserve">(11):e01129. </w:t>
            </w:r>
            <w:proofErr w:type="spellStart"/>
            <w:proofErr w:type="gramStart"/>
            <w:r w:rsidRPr="004F1590">
              <w:rPr>
                <w:sz w:val="16"/>
                <w:szCs w:val="16"/>
              </w:rPr>
              <w:t>doi</w:t>
            </w:r>
            <w:proofErr w:type="spellEnd"/>
            <w:proofErr w:type="gramEnd"/>
            <w:r w:rsidRPr="004F1590">
              <w:rPr>
                <w:sz w:val="16"/>
                <w:szCs w:val="16"/>
              </w:rPr>
              <w:t>: 10.1002/brb3.1129.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3</w:t>
            </w:r>
            <w:r w:rsidRPr="004F1590">
              <w:rPr>
                <w:sz w:val="16"/>
                <w:szCs w:val="16"/>
              </w:rPr>
              <w:t xml:space="preserve">. Giedraitiene N,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</w:t>
            </w:r>
            <w:proofErr w:type="spellStart"/>
            <w:r w:rsidRPr="004F1590">
              <w:rPr>
                <w:sz w:val="16"/>
                <w:szCs w:val="16"/>
              </w:rPr>
              <w:t>Kizlaitiene</w:t>
            </w:r>
            <w:proofErr w:type="spellEnd"/>
            <w:r w:rsidRPr="004F1590">
              <w:rPr>
                <w:sz w:val="16"/>
                <w:szCs w:val="16"/>
              </w:rPr>
              <w:t xml:space="preserve"> R. Cognition During and After Multiple Sclerosis Relapse as Assessed With the Brief International Cognitive Assessment for Multiple Sclerosis.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Rep. 2018 May 25</w:t>
            </w:r>
            <w:proofErr w:type="gramStart"/>
            <w:r w:rsidRPr="004F1590">
              <w:rPr>
                <w:sz w:val="16"/>
                <w:szCs w:val="16"/>
              </w:rPr>
              <w:t>;8</w:t>
            </w:r>
            <w:proofErr w:type="gramEnd"/>
            <w:r w:rsidRPr="004F1590">
              <w:rPr>
                <w:sz w:val="16"/>
                <w:szCs w:val="16"/>
              </w:rPr>
              <w:t xml:space="preserve">(1):8169. DOI: 10.1038/s41598-018-26449-7.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4</w:t>
            </w:r>
            <w:r w:rsidRPr="004F1590">
              <w:rPr>
                <w:sz w:val="16"/>
                <w:szCs w:val="16"/>
              </w:rPr>
              <w:t xml:space="preserve">. </w:t>
            </w:r>
            <w:proofErr w:type="spellStart"/>
            <w:r w:rsidRPr="004F1590">
              <w:rPr>
                <w:sz w:val="16"/>
                <w:szCs w:val="16"/>
              </w:rPr>
              <w:t>Daunoraviciene</w:t>
            </w:r>
            <w:proofErr w:type="spellEnd"/>
            <w:r w:rsidRPr="004F1590">
              <w:rPr>
                <w:sz w:val="16"/>
                <w:szCs w:val="16"/>
              </w:rPr>
              <w:t xml:space="preserve"> K, </w:t>
            </w:r>
            <w:proofErr w:type="spellStart"/>
            <w:r w:rsidRPr="004F1590">
              <w:rPr>
                <w:sz w:val="16"/>
                <w:szCs w:val="16"/>
              </w:rPr>
              <w:t>Ziziene</w:t>
            </w:r>
            <w:proofErr w:type="spellEnd"/>
            <w:r w:rsidRPr="004F1590">
              <w:rPr>
                <w:sz w:val="16"/>
                <w:szCs w:val="16"/>
              </w:rPr>
              <w:t xml:space="preserve"> J, </w:t>
            </w:r>
            <w:proofErr w:type="spellStart"/>
            <w:r w:rsidRPr="004F1590">
              <w:rPr>
                <w:sz w:val="16"/>
                <w:szCs w:val="16"/>
              </w:rPr>
              <w:t>Griskevicius</w:t>
            </w:r>
            <w:proofErr w:type="spellEnd"/>
            <w:r w:rsidRPr="004F1590">
              <w:rPr>
                <w:sz w:val="16"/>
                <w:szCs w:val="16"/>
              </w:rPr>
              <w:t xml:space="preserve"> J, </w:t>
            </w:r>
            <w:proofErr w:type="spellStart"/>
            <w:r w:rsidRPr="004F1590">
              <w:rPr>
                <w:sz w:val="16"/>
                <w:szCs w:val="16"/>
              </w:rPr>
              <w:t>Pauk</w:t>
            </w:r>
            <w:proofErr w:type="spellEnd"/>
            <w:r w:rsidRPr="004F1590">
              <w:rPr>
                <w:sz w:val="16"/>
                <w:szCs w:val="16"/>
              </w:rPr>
              <w:t xml:space="preserve"> J, </w:t>
            </w:r>
            <w:proofErr w:type="spellStart"/>
            <w:r w:rsidRPr="004F1590">
              <w:rPr>
                <w:sz w:val="16"/>
                <w:szCs w:val="16"/>
              </w:rPr>
              <w:t>Ovcinikova</w:t>
            </w:r>
            <w:proofErr w:type="spellEnd"/>
            <w:r w:rsidRPr="004F1590">
              <w:rPr>
                <w:sz w:val="16"/>
                <w:szCs w:val="16"/>
              </w:rPr>
              <w:t xml:space="preserve"> A, </w:t>
            </w:r>
            <w:proofErr w:type="spellStart"/>
            <w:r w:rsidRPr="004F1590">
              <w:rPr>
                <w:sz w:val="16"/>
                <w:szCs w:val="16"/>
              </w:rPr>
              <w:t>Kizlaitiene</w:t>
            </w:r>
            <w:proofErr w:type="spellEnd"/>
            <w:r w:rsidRPr="004F1590">
              <w:rPr>
                <w:sz w:val="16"/>
                <w:szCs w:val="16"/>
              </w:rPr>
              <w:t xml:space="preserve"> R,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Quantitative assessment of upper extremities motor function in multiple sclerosis. </w:t>
            </w:r>
            <w:proofErr w:type="spellStart"/>
            <w:r w:rsidRPr="004F1590">
              <w:rPr>
                <w:sz w:val="16"/>
                <w:szCs w:val="16"/>
              </w:rPr>
              <w:t>Technol</w:t>
            </w:r>
            <w:proofErr w:type="spellEnd"/>
            <w:r w:rsidRPr="004F1590">
              <w:rPr>
                <w:sz w:val="16"/>
                <w:szCs w:val="16"/>
              </w:rPr>
              <w:t xml:space="preserve"> Health Care. 2018 May 18. DOI: 10.3233/THC-182511. [</w:t>
            </w:r>
            <w:proofErr w:type="spellStart"/>
            <w:r w:rsidRPr="004F1590">
              <w:rPr>
                <w:sz w:val="16"/>
                <w:szCs w:val="16"/>
              </w:rPr>
              <w:t>Epub</w:t>
            </w:r>
            <w:proofErr w:type="spellEnd"/>
            <w:r w:rsidRPr="004F1590">
              <w:rPr>
                <w:sz w:val="16"/>
                <w:szCs w:val="16"/>
              </w:rPr>
              <w:t xml:space="preserve"> ahead of print]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5</w:t>
            </w:r>
            <w:r w:rsidRPr="004F1590">
              <w:rPr>
                <w:sz w:val="16"/>
                <w:szCs w:val="16"/>
              </w:rPr>
              <w:t xml:space="preserve">. Kizlaitienė R,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Giedraitienė N, Ramanauskas N, Dementavičienė J. Composite Marker of Cognitive Dysfunction and Brain Atrophy is Highly Accurate in Discriminating Between Relapsing-Remitting and Secondary Progressive Multiple Sclerosis.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>. 2017 Feb 1; 23:588-97.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6</w:t>
            </w:r>
            <w:r w:rsidRPr="004F1590">
              <w:rPr>
                <w:sz w:val="16"/>
                <w:szCs w:val="16"/>
              </w:rPr>
              <w:t xml:space="preserve">.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Bukina V, Bingelytė I, </w:t>
            </w:r>
            <w:proofErr w:type="spellStart"/>
            <w:r w:rsidRPr="004F1590">
              <w:rPr>
                <w:sz w:val="16"/>
                <w:szCs w:val="16"/>
              </w:rPr>
              <w:t>Taluntis</w:t>
            </w:r>
            <w:proofErr w:type="spellEnd"/>
            <w:r w:rsidRPr="004F1590">
              <w:rPr>
                <w:sz w:val="16"/>
                <w:szCs w:val="16"/>
              </w:rPr>
              <w:t xml:space="preserve"> V. Perception of Fechner Illusory </w:t>
            </w:r>
            <w:proofErr w:type="spellStart"/>
            <w:r w:rsidRPr="004F1590">
              <w:rPr>
                <w:sz w:val="16"/>
                <w:szCs w:val="16"/>
              </w:rPr>
              <w:t>Colors</w:t>
            </w:r>
            <w:proofErr w:type="spellEnd"/>
            <w:r w:rsidRPr="004F1590">
              <w:rPr>
                <w:sz w:val="16"/>
                <w:szCs w:val="16"/>
              </w:rPr>
              <w:t xml:space="preserve"> in Alzheimer Disease Patients.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>. 2016 Nov 30; 22:4670-8.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7</w:t>
            </w:r>
            <w:r w:rsidRPr="004F1590">
              <w:rPr>
                <w:sz w:val="16"/>
                <w:szCs w:val="16"/>
              </w:rPr>
              <w:t xml:space="preserve">. Kuzmickienė J,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Specific Features of Executive Dysfunction in Alzheimer-Type Mild Dementia Based on Computerized Cambridge Neuropsychological Test Automated Battery (CANTAB) Test Results.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>. 2016 Oct 08; 22:3605-13.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8</w:t>
            </w:r>
            <w:r w:rsidRPr="004F1590">
              <w:rPr>
                <w:sz w:val="16"/>
                <w:szCs w:val="16"/>
              </w:rPr>
              <w:t xml:space="preserve">. Kuzmickienė J,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Cognitive Results of CANTAB Tests and Their Change Due to the First Dose of Donepezil May Predict Treatment Efficacy in Alzheimer Disease.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>. 2015 Dec 14; 21:3887-99.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9</w:t>
            </w:r>
            <w:r w:rsidRPr="004F1590">
              <w:rPr>
                <w:sz w:val="16"/>
                <w:szCs w:val="16"/>
              </w:rPr>
              <w:t xml:space="preserve">. Giedraitienė N, Kizlaitienė R,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The BICAMS Battery for Assessment of Lithuanian-Speaking Multiple Sclerosis Patients: Relationship with Age, Education, Disease Disability, and Duration.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 xml:space="preserve">. 2015 Dec 10; 21:3853-9.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10</w:t>
            </w:r>
            <w:r w:rsidRPr="004F1590">
              <w:rPr>
                <w:sz w:val="16"/>
                <w:szCs w:val="16"/>
              </w:rPr>
              <w:t xml:space="preserve">. Kuzmickienė J,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Selective Ability of Some CANTAB Battery Test Measures to Detect Cognitive Response to a Single Dose of Donepezil in Alzheimer Disease.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 xml:space="preserve">. 2015 Aug 31; 21:2572-82.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11</w:t>
            </w:r>
            <w:r w:rsidRPr="004F1590">
              <w:rPr>
                <w:sz w:val="16"/>
                <w:szCs w:val="16"/>
              </w:rPr>
              <w:t xml:space="preserve">. Vaitkevičius A,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</w:t>
            </w:r>
            <w:proofErr w:type="spellStart"/>
            <w:r w:rsidRPr="004F1590">
              <w:rPr>
                <w:sz w:val="16"/>
                <w:szCs w:val="16"/>
              </w:rPr>
              <w:t>Audronytė</w:t>
            </w:r>
            <w:proofErr w:type="spellEnd"/>
            <w:r w:rsidRPr="004F1590">
              <w:rPr>
                <w:sz w:val="16"/>
                <w:szCs w:val="16"/>
              </w:rPr>
              <w:t xml:space="preserve"> E. Distinctive Effect of Donepezil Treatment on P300 and N200 Subcomponents of Auditory Event-Related Evoked Potentials in Alzheimer Disease Patients.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 xml:space="preserve">. 2015 Jul 3; 21:1920-7.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12</w:t>
            </w:r>
            <w:r w:rsidRPr="004F1590">
              <w:rPr>
                <w:sz w:val="16"/>
                <w:szCs w:val="16"/>
              </w:rPr>
              <w:t xml:space="preserve">. Giedraitiene N,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</w:t>
            </w:r>
            <w:proofErr w:type="spellStart"/>
            <w:r w:rsidRPr="004F1590">
              <w:rPr>
                <w:sz w:val="16"/>
                <w:szCs w:val="16"/>
              </w:rPr>
              <w:t>Kizlaitiene</w:t>
            </w:r>
            <w:proofErr w:type="spellEnd"/>
            <w:r w:rsidRPr="004F1590">
              <w:rPr>
                <w:sz w:val="16"/>
                <w:szCs w:val="16"/>
              </w:rPr>
              <w:t xml:space="preserve"> R, </w:t>
            </w:r>
            <w:proofErr w:type="spellStart"/>
            <w:r w:rsidRPr="004F1590">
              <w:rPr>
                <w:sz w:val="16"/>
                <w:szCs w:val="16"/>
              </w:rPr>
              <w:t>Bagdonaite</w:t>
            </w:r>
            <w:proofErr w:type="spellEnd"/>
            <w:r w:rsidRPr="004F1590">
              <w:rPr>
                <w:sz w:val="16"/>
                <w:szCs w:val="16"/>
              </w:rPr>
              <w:t xml:space="preserve"> L, </w:t>
            </w:r>
            <w:proofErr w:type="spellStart"/>
            <w:r w:rsidRPr="004F1590">
              <w:rPr>
                <w:sz w:val="16"/>
                <w:szCs w:val="16"/>
              </w:rPr>
              <w:t>Griskevicius</w:t>
            </w:r>
            <w:proofErr w:type="spellEnd"/>
            <w:r w:rsidRPr="004F1590">
              <w:rPr>
                <w:sz w:val="16"/>
                <w:szCs w:val="16"/>
              </w:rPr>
              <w:t xml:space="preserve"> L, </w:t>
            </w:r>
            <w:proofErr w:type="spellStart"/>
            <w:r w:rsidRPr="004F1590">
              <w:rPr>
                <w:sz w:val="16"/>
                <w:szCs w:val="16"/>
              </w:rPr>
              <w:t>Valceckiene</w:t>
            </w:r>
            <w:proofErr w:type="spellEnd"/>
            <w:r w:rsidRPr="004F1590">
              <w:rPr>
                <w:sz w:val="16"/>
                <w:szCs w:val="16"/>
              </w:rPr>
              <w:t xml:space="preserve"> V, </w:t>
            </w:r>
            <w:proofErr w:type="spellStart"/>
            <w:r w:rsidRPr="004F1590">
              <w:rPr>
                <w:sz w:val="16"/>
                <w:szCs w:val="16"/>
              </w:rPr>
              <w:t>Stoskus</w:t>
            </w:r>
            <w:proofErr w:type="spellEnd"/>
            <w:r w:rsidRPr="004F1590">
              <w:rPr>
                <w:sz w:val="16"/>
                <w:szCs w:val="16"/>
              </w:rPr>
              <w:t xml:space="preserve"> M. Therapeutic Plasma Exchange in Multiple Sclerosis Patients with Abolished Interferon-beta Bioavailability. Med </w:t>
            </w:r>
            <w:proofErr w:type="spellStart"/>
            <w:r w:rsidRPr="004F1590">
              <w:rPr>
                <w:sz w:val="16"/>
                <w:szCs w:val="16"/>
              </w:rPr>
              <w:t>Sci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Monit</w:t>
            </w:r>
            <w:proofErr w:type="spellEnd"/>
            <w:r w:rsidRPr="004F1590">
              <w:rPr>
                <w:sz w:val="16"/>
                <w:szCs w:val="16"/>
              </w:rPr>
              <w:t xml:space="preserve">. 2015 May 26; 21:1512-9.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13</w:t>
            </w:r>
            <w:r w:rsidRPr="004F1590">
              <w:rPr>
                <w:sz w:val="16"/>
                <w:szCs w:val="16"/>
              </w:rPr>
              <w:t xml:space="preserve">. Rotomskis A, </w:t>
            </w:r>
            <w:proofErr w:type="spellStart"/>
            <w:r w:rsidRPr="004F1590">
              <w:rPr>
                <w:sz w:val="16"/>
                <w:szCs w:val="16"/>
              </w:rPr>
              <w:t>Margevičiūtė</w:t>
            </w:r>
            <w:proofErr w:type="spellEnd"/>
            <w:r w:rsidRPr="004F1590">
              <w:rPr>
                <w:sz w:val="16"/>
                <w:szCs w:val="16"/>
              </w:rPr>
              <w:t xml:space="preserve"> R, </w:t>
            </w:r>
            <w:proofErr w:type="spellStart"/>
            <w:r w:rsidRPr="004F1590">
              <w:rPr>
                <w:sz w:val="16"/>
                <w:szCs w:val="16"/>
              </w:rPr>
              <w:t>Germanavičius</w:t>
            </w:r>
            <w:proofErr w:type="spellEnd"/>
            <w:r w:rsidRPr="004F1590">
              <w:rPr>
                <w:sz w:val="16"/>
                <w:szCs w:val="16"/>
              </w:rPr>
              <w:t xml:space="preserve"> A,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Budrys V, </w:t>
            </w:r>
            <w:proofErr w:type="spellStart"/>
            <w:r w:rsidRPr="004F1590">
              <w:rPr>
                <w:sz w:val="16"/>
                <w:szCs w:val="16"/>
              </w:rPr>
              <w:t>Bagdonas</w:t>
            </w:r>
            <w:proofErr w:type="spellEnd"/>
            <w:r w:rsidRPr="004F1590">
              <w:rPr>
                <w:sz w:val="16"/>
                <w:szCs w:val="16"/>
              </w:rPr>
              <w:t xml:space="preserve"> A. Differential diagnosis of depression and Alzheimer's disease with the </w:t>
            </w:r>
            <w:proofErr w:type="spellStart"/>
            <w:r w:rsidRPr="004F1590">
              <w:rPr>
                <w:sz w:val="16"/>
                <w:szCs w:val="16"/>
              </w:rPr>
              <w:t>Addenbrooke's</w:t>
            </w:r>
            <w:proofErr w:type="spellEnd"/>
            <w:r w:rsidRPr="004F1590">
              <w:rPr>
                <w:sz w:val="16"/>
                <w:szCs w:val="16"/>
              </w:rPr>
              <w:t xml:space="preserve"> Cognitive Examination-Revised (ACE-R). BMC Neurol. 2015 Apr 17; 15:57.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14</w:t>
            </w:r>
            <w:r w:rsidRPr="004F1590">
              <w:rPr>
                <w:sz w:val="16"/>
                <w:szCs w:val="16"/>
              </w:rPr>
              <w:t xml:space="preserve">. Rosenfeld W, Fountain NB,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Ben-Menachem E, </w:t>
            </w:r>
            <w:proofErr w:type="spellStart"/>
            <w:r w:rsidRPr="004F1590">
              <w:rPr>
                <w:sz w:val="16"/>
                <w:szCs w:val="16"/>
              </w:rPr>
              <w:t>McShea</w:t>
            </w:r>
            <w:proofErr w:type="spellEnd"/>
            <w:r w:rsidRPr="004F1590">
              <w:rPr>
                <w:sz w:val="16"/>
                <w:szCs w:val="16"/>
              </w:rPr>
              <w:t xml:space="preserve"> C, </w:t>
            </w:r>
            <w:proofErr w:type="spellStart"/>
            <w:r w:rsidRPr="004F1590">
              <w:rPr>
                <w:sz w:val="16"/>
                <w:szCs w:val="16"/>
              </w:rPr>
              <w:t>Isojarvi</w:t>
            </w:r>
            <w:proofErr w:type="spellEnd"/>
            <w:r w:rsidRPr="004F1590">
              <w:rPr>
                <w:sz w:val="16"/>
                <w:szCs w:val="16"/>
              </w:rPr>
              <w:t xml:space="preserve"> J, Doty P; SP615 Study Investigators. Safety and efficacy of adjunctive </w:t>
            </w:r>
            <w:proofErr w:type="spellStart"/>
            <w:r w:rsidRPr="004F1590">
              <w:rPr>
                <w:sz w:val="16"/>
                <w:szCs w:val="16"/>
              </w:rPr>
              <w:t>lacosamide</w:t>
            </w:r>
            <w:proofErr w:type="spellEnd"/>
            <w:r w:rsidRPr="004F1590">
              <w:rPr>
                <w:sz w:val="16"/>
                <w:szCs w:val="16"/>
              </w:rPr>
              <w:t xml:space="preserve"> among patients with partial-onset seizures in a long-term open-label extension trial of up to 8 years. Epilepsy </w:t>
            </w:r>
            <w:proofErr w:type="spellStart"/>
            <w:r w:rsidRPr="004F1590">
              <w:rPr>
                <w:sz w:val="16"/>
                <w:szCs w:val="16"/>
              </w:rPr>
              <w:t>Behav</w:t>
            </w:r>
            <w:proofErr w:type="spellEnd"/>
            <w:r w:rsidRPr="004F1590">
              <w:rPr>
                <w:sz w:val="16"/>
                <w:szCs w:val="16"/>
              </w:rPr>
              <w:t xml:space="preserve">. 2014 Dec; 41:164-70.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15</w:t>
            </w:r>
            <w:r w:rsidRPr="004F1590">
              <w:rPr>
                <w:sz w:val="16"/>
                <w:szCs w:val="16"/>
              </w:rPr>
              <w:t xml:space="preserve">. Budrys V, </w:t>
            </w:r>
            <w:proofErr w:type="spellStart"/>
            <w:r w:rsidRPr="004F1590">
              <w:rPr>
                <w:sz w:val="16"/>
                <w:szCs w:val="16"/>
              </w:rPr>
              <w:t>Skullerud</w:t>
            </w:r>
            <w:proofErr w:type="spellEnd"/>
            <w:r w:rsidRPr="004F1590">
              <w:rPr>
                <w:sz w:val="16"/>
                <w:szCs w:val="16"/>
              </w:rPr>
              <w:t xml:space="preserve"> K, </w:t>
            </w:r>
            <w:proofErr w:type="spellStart"/>
            <w:r w:rsidRPr="004F1590">
              <w:rPr>
                <w:sz w:val="16"/>
                <w:szCs w:val="16"/>
              </w:rPr>
              <w:t>Petroska</w:t>
            </w:r>
            <w:proofErr w:type="spellEnd"/>
            <w:r w:rsidRPr="004F1590">
              <w:rPr>
                <w:sz w:val="16"/>
                <w:szCs w:val="16"/>
              </w:rPr>
              <w:t xml:space="preserve"> D, </w:t>
            </w:r>
            <w:proofErr w:type="spellStart"/>
            <w:r w:rsidRPr="004F1590">
              <w:rPr>
                <w:sz w:val="16"/>
                <w:szCs w:val="16"/>
              </w:rPr>
              <w:t>Lengveniene</w:t>
            </w:r>
            <w:proofErr w:type="spellEnd"/>
            <w:r w:rsidRPr="004F1590">
              <w:rPr>
                <w:sz w:val="16"/>
                <w:szCs w:val="16"/>
              </w:rPr>
              <w:t xml:space="preserve"> J,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. Dementia and art: neuronal intermediate filament inclusion disease and dissolution of artistic creativity. </w:t>
            </w:r>
            <w:proofErr w:type="spellStart"/>
            <w:r w:rsidRPr="004F1590">
              <w:rPr>
                <w:sz w:val="16"/>
                <w:szCs w:val="16"/>
              </w:rPr>
              <w:t>Eur</w:t>
            </w:r>
            <w:proofErr w:type="spellEnd"/>
            <w:r w:rsidRPr="004F1590">
              <w:rPr>
                <w:sz w:val="16"/>
                <w:szCs w:val="16"/>
              </w:rPr>
              <w:t xml:space="preserve"> Neurol. 2007; 57(3):137-44. </w:t>
            </w:r>
          </w:p>
          <w:p w:rsidR="004F1590" w:rsidRPr="004F1590" w:rsidRDefault="004F1590" w:rsidP="004F1590">
            <w:pPr>
              <w:jc w:val="both"/>
              <w:rPr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16</w:t>
            </w:r>
            <w:r w:rsidRPr="004F1590">
              <w:rPr>
                <w:sz w:val="16"/>
                <w:szCs w:val="16"/>
              </w:rPr>
              <w:t xml:space="preserve">. Mameniskiene R, Jatuzis D,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Budrys V. The decay of memory between delayed and long-term recall in patients with temporal lobe epilepsy. Epilepsy </w:t>
            </w:r>
            <w:proofErr w:type="spellStart"/>
            <w:r w:rsidRPr="004F1590">
              <w:rPr>
                <w:sz w:val="16"/>
                <w:szCs w:val="16"/>
              </w:rPr>
              <w:t>Behav</w:t>
            </w:r>
            <w:proofErr w:type="spellEnd"/>
            <w:r w:rsidRPr="004F1590">
              <w:rPr>
                <w:sz w:val="16"/>
                <w:szCs w:val="16"/>
              </w:rPr>
              <w:t xml:space="preserve">. 2006 Feb; 8(1):278-88. </w:t>
            </w:r>
          </w:p>
          <w:p w:rsidR="004F1590" w:rsidRDefault="004F1590" w:rsidP="004F1590">
            <w:pPr>
              <w:jc w:val="both"/>
              <w:rPr>
                <w:b/>
                <w:sz w:val="16"/>
                <w:szCs w:val="16"/>
              </w:rPr>
            </w:pPr>
            <w:r w:rsidRPr="004F1590">
              <w:rPr>
                <w:b/>
                <w:sz w:val="16"/>
                <w:szCs w:val="16"/>
              </w:rPr>
              <w:t>17</w:t>
            </w:r>
            <w:r w:rsidRPr="004F1590">
              <w:rPr>
                <w:sz w:val="16"/>
                <w:szCs w:val="16"/>
              </w:rPr>
              <w:t xml:space="preserve">. </w:t>
            </w:r>
            <w:proofErr w:type="spellStart"/>
            <w:r w:rsidRPr="004F1590">
              <w:rPr>
                <w:sz w:val="16"/>
                <w:szCs w:val="16"/>
              </w:rPr>
              <w:t>Styczyński</w:t>
            </w:r>
            <w:proofErr w:type="spellEnd"/>
            <w:r w:rsidRPr="004F1590">
              <w:rPr>
                <w:sz w:val="16"/>
                <w:szCs w:val="16"/>
              </w:rPr>
              <w:t xml:space="preserve"> T1, </w:t>
            </w:r>
            <w:proofErr w:type="spellStart"/>
            <w:r w:rsidRPr="004F1590">
              <w:rPr>
                <w:sz w:val="16"/>
                <w:szCs w:val="16"/>
              </w:rPr>
              <w:t>Parnarauskiene</w:t>
            </w:r>
            <w:proofErr w:type="spellEnd"/>
            <w:r w:rsidRPr="004F1590">
              <w:rPr>
                <w:sz w:val="16"/>
                <w:szCs w:val="16"/>
              </w:rPr>
              <w:t xml:space="preserve"> R, </w:t>
            </w:r>
            <w:proofErr w:type="spellStart"/>
            <w:r w:rsidRPr="004F1590">
              <w:rPr>
                <w:sz w:val="16"/>
                <w:szCs w:val="16"/>
              </w:rPr>
              <w:t>Zarski</w:t>
            </w:r>
            <w:proofErr w:type="spellEnd"/>
            <w:r w:rsidRPr="004F1590">
              <w:rPr>
                <w:sz w:val="16"/>
                <w:szCs w:val="16"/>
              </w:rPr>
              <w:t xml:space="preserve"> S, </w:t>
            </w:r>
            <w:r w:rsidRPr="004F1590">
              <w:rPr>
                <w:b/>
                <w:sz w:val="16"/>
                <w:szCs w:val="16"/>
              </w:rPr>
              <w:t>Kaubrys G</w:t>
            </w:r>
            <w:r w:rsidRPr="004F1590">
              <w:rPr>
                <w:sz w:val="16"/>
                <w:szCs w:val="16"/>
              </w:rPr>
              <w:t xml:space="preserve">, Klezys V, </w:t>
            </w:r>
            <w:proofErr w:type="spellStart"/>
            <w:r w:rsidRPr="004F1590">
              <w:rPr>
                <w:sz w:val="16"/>
                <w:szCs w:val="16"/>
              </w:rPr>
              <w:t>Krzemińska-Dabrowska</w:t>
            </w:r>
            <w:proofErr w:type="spellEnd"/>
            <w:r w:rsidRPr="004F1590">
              <w:rPr>
                <w:sz w:val="16"/>
                <w:szCs w:val="16"/>
              </w:rPr>
              <w:t xml:space="preserve"> I, </w:t>
            </w:r>
            <w:proofErr w:type="spellStart"/>
            <w:r w:rsidRPr="004F1590">
              <w:rPr>
                <w:sz w:val="16"/>
                <w:szCs w:val="16"/>
              </w:rPr>
              <w:t>Lesiak</w:t>
            </w:r>
            <w:proofErr w:type="spellEnd"/>
            <w:r w:rsidRPr="004F1590">
              <w:rPr>
                <w:sz w:val="16"/>
                <w:szCs w:val="16"/>
              </w:rPr>
              <w:t xml:space="preserve"> A, </w:t>
            </w:r>
            <w:proofErr w:type="spellStart"/>
            <w:r w:rsidRPr="004F1590">
              <w:rPr>
                <w:sz w:val="16"/>
                <w:szCs w:val="16"/>
              </w:rPr>
              <w:t>Pasek</w:t>
            </w:r>
            <w:proofErr w:type="spellEnd"/>
            <w:r w:rsidRPr="004F1590">
              <w:rPr>
                <w:sz w:val="16"/>
                <w:szCs w:val="16"/>
              </w:rPr>
              <w:t xml:space="preserve"> A, </w:t>
            </w:r>
            <w:proofErr w:type="spellStart"/>
            <w:r w:rsidRPr="004F1590">
              <w:rPr>
                <w:sz w:val="16"/>
                <w:szCs w:val="16"/>
              </w:rPr>
              <w:t>Piróg</w:t>
            </w:r>
            <w:proofErr w:type="spellEnd"/>
            <w:r w:rsidRPr="004F1590">
              <w:rPr>
                <w:sz w:val="16"/>
                <w:szCs w:val="16"/>
              </w:rPr>
              <w:t xml:space="preserve"> A, </w:t>
            </w:r>
            <w:proofErr w:type="spellStart"/>
            <w:r w:rsidRPr="004F1590">
              <w:rPr>
                <w:sz w:val="16"/>
                <w:szCs w:val="16"/>
              </w:rPr>
              <w:t>Pyskło</w:t>
            </w:r>
            <w:proofErr w:type="spellEnd"/>
            <w:r w:rsidRPr="004F1590">
              <w:rPr>
                <w:sz w:val="16"/>
                <w:szCs w:val="16"/>
              </w:rPr>
              <w:t xml:space="preserve"> B, </w:t>
            </w:r>
            <w:proofErr w:type="spellStart"/>
            <w:r w:rsidRPr="004F1590">
              <w:rPr>
                <w:sz w:val="16"/>
                <w:szCs w:val="16"/>
              </w:rPr>
              <w:t>Sadowski</w:t>
            </w:r>
            <w:proofErr w:type="spellEnd"/>
            <w:r w:rsidRPr="004F1590">
              <w:rPr>
                <w:sz w:val="16"/>
                <w:szCs w:val="16"/>
              </w:rPr>
              <w:t xml:space="preserve"> A. The assessment of therapeutic effectiveness of paravertebral blockades in patients with painful radicular syndromes in </w:t>
            </w:r>
            <w:proofErr w:type="spellStart"/>
            <w:r w:rsidRPr="004F1590">
              <w:rPr>
                <w:sz w:val="16"/>
                <w:szCs w:val="16"/>
              </w:rPr>
              <w:t>discopathy</w:t>
            </w:r>
            <w:proofErr w:type="spellEnd"/>
            <w:r w:rsidRPr="004F1590">
              <w:rPr>
                <w:sz w:val="16"/>
                <w:szCs w:val="16"/>
              </w:rPr>
              <w:t xml:space="preserve"> and in lumbar spine spondylosis. </w:t>
            </w:r>
            <w:proofErr w:type="spellStart"/>
            <w:r w:rsidRPr="004F1590">
              <w:rPr>
                <w:sz w:val="16"/>
                <w:szCs w:val="16"/>
              </w:rPr>
              <w:t>Neurol</w:t>
            </w:r>
            <w:proofErr w:type="spellEnd"/>
            <w:r w:rsidRPr="004F1590">
              <w:rPr>
                <w:sz w:val="16"/>
                <w:szCs w:val="16"/>
              </w:rPr>
              <w:t xml:space="preserve"> </w:t>
            </w:r>
            <w:proofErr w:type="spellStart"/>
            <w:r w:rsidRPr="004F1590">
              <w:rPr>
                <w:sz w:val="16"/>
                <w:szCs w:val="16"/>
              </w:rPr>
              <w:t>Neurochir</w:t>
            </w:r>
            <w:proofErr w:type="spellEnd"/>
            <w:r w:rsidRPr="004F1590">
              <w:rPr>
                <w:sz w:val="16"/>
                <w:szCs w:val="16"/>
              </w:rPr>
              <w:t xml:space="preserve"> Pol. 1997 Sep-Oct; 31(5):939-49.</w:t>
            </w:r>
          </w:p>
          <w:p w:rsidR="00ED4066" w:rsidRPr="00ED4066" w:rsidRDefault="00ED4066" w:rsidP="00ED4066">
            <w:pPr>
              <w:ind w:right="252"/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1</w:t>
            </w:r>
            <w:r w:rsidR="004F1590">
              <w:rPr>
                <w:b/>
                <w:sz w:val="16"/>
                <w:szCs w:val="16"/>
              </w:rPr>
              <w:t>8</w:t>
            </w:r>
            <w:r w:rsidRPr="00ED4066">
              <w:rPr>
                <w:sz w:val="16"/>
                <w:szCs w:val="16"/>
              </w:rPr>
              <w:t xml:space="preserve">. </w:t>
            </w:r>
            <w:r w:rsidRPr="00ED4066">
              <w:rPr>
                <w:sz w:val="16"/>
                <w:szCs w:val="16"/>
                <w:lang w:val="lt-LT"/>
              </w:rPr>
              <w:t xml:space="preserve">Regelskytė V., Pakulaitė G., Audronytė E., Kuzmickienė J., </w:t>
            </w:r>
            <w:r w:rsidRPr="00ED4066">
              <w:rPr>
                <w:b/>
                <w:sz w:val="16"/>
                <w:szCs w:val="16"/>
                <w:u w:val="single"/>
                <w:lang w:val="lt-LT"/>
              </w:rPr>
              <w:t>Kaubrys G</w:t>
            </w:r>
            <w:r w:rsidRPr="00ED4066">
              <w:rPr>
                <w:sz w:val="16"/>
                <w:szCs w:val="16"/>
                <w:lang w:val="lt-LT"/>
              </w:rPr>
              <w:t xml:space="preserve">. Spalvų įvardijimas, atsiminimas ir asociacijos su emocijomis, sergant Alzheimerio liga. Neurologijos seminarai 2014; 18(61): 181–188.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1</w:t>
            </w:r>
            <w:r w:rsidR="004F1590">
              <w:rPr>
                <w:b/>
                <w:sz w:val="16"/>
                <w:szCs w:val="16"/>
              </w:rPr>
              <w:t>9</w:t>
            </w:r>
            <w:r w:rsidRPr="00ED4066">
              <w:rPr>
                <w:sz w:val="16"/>
                <w:szCs w:val="16"/>
              </w:rPr>
              <w:t xml:space="preserve">. </w:t>
            </w:r>
            <w:r w:rsidRPr="00ED4066">
              <w:rPr>
                <w:sz w:val="16"/>
                <w:szCs w:val="16"/>
                <w:lang w:val="lt-LT"/>
              </w:rPr>
              <w:t xml:space="preserve">Budrys V., </w:t>
            </w:r>
            <w:r w:rsidRPr="00ED4066">
              <w:rPr>
                <w:b/>
                <w:sz w:val="16"/>
                <w:szCs w:val="16"/>
                <w:u w:val="single"/>
                <w:lang w:val="lt-LT"/>
              </w:rPr>
              <w:t>Kaubrys G</w:t>
            </w:r>
            <w:r w:rsidRPr="00ED4066">
              <w:rPr>
                <w:sz w:val="16"/>
                <w:szCs w:val="16"/>
                <w:lang w:val="lt-LT"/>
              </w:rPr>
              <w:t>, Petroška D, Kuzmickienė J, Mameniškienė R, Balčytytė R. Creutzfeldt-Jakob liga: literatūros apžvalga ir keturi patomorfologiškai patvirtinti klinikiniai atvejai Lietuvoje. Neurologijos seminarai 2014; 18(61): 173–180.</w:t>
            </w:r>
          </w:p>
          <w:p w:rsidR="00ED4066" w:rsidRPr="00ED4066" w:rsidRDefault="004F1590" w:rsidP="00ED406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ED4066" w:rsidRPr="00ED4066">
              <w:rPr>
                <w:b/>
                <w:sz w:val="16"/>
                <w:szCs w:val="16"/>
              </w:rPr>
              <w:t xml:space="preserve">. </w:t>
            </w:r>
            <w:r w:rsidR="00ED4066" w:rsidRPr="00ED4066">
              <w:rPr>
                <w:sz w:val="16"/>
                <w:szCs w:val="16"/>
              </w:rPr>
              <w:t xml:space="preserve">Kuzmickienė J,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, Budrys V. </w:t>
            </w:r>
            <w:proofErr w:type="spellStart"/>
            <w:r w:rsidR="00ED4066" w:rsidRPr="00ED4066">
              <w:rPr>
                <w:sz w:val="16"/>
                <w:szCs w:val="16"/>
              </w:rPr>
              <w:t>Atipinės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eigos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greitai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progresuojanti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normalaus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spaudimo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hidrocefalija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: </w:t>
            </w:r>
            <w:proofErr w:type="spellStart"/>
            <w:r w:rsidR="00ED4066" w:rsidRPr="00ED4066">
              <w:rPr>
                <w:sz w:val="16"/>
                <w:szCs w:val="16"/>
              </w:rPr>
              <w:t>klinikinis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atvejis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2014; 18(59): 55-60. </w:t>
            </w:r>
          </w:p>
          <w:p w:rsidR="00ED4066" w:rsidRPr="00ED4066" w:rsidRDefault="004F1590" w:rsidP="00ED406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ED4066" w:rsidRPr="00ED4066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Audronytė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E, </w:t>
            </w:r>
            <w:proofErr w:type="spellStart"/>
            <w:r w:rsidR="00ED4066" w:rsidRPr="00ED4066">
              <w:rPr>
                <w:sz w:val="16"/>
                <w:szCs w:val="16"/>
              </w:rPr>
              <w:t>Pakulaitė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G, Regelskytė V, Kuzmickienė J,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Optinių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iliuzijų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kitų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regimojo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suvokimo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užduočių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atlikimas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sergant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Alzheimerio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liga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2013; 17(58): 260-269. </w:t>
            </w:r>
          </w:p>
          <w:p w:rsidR="00ED4066" w:rsidRPr="00ED4066" w:rsidRDefault="004F1590" w:rsidP="00ED4066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Margevičiūtė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R, </w:t>
            </w:r>
            <w:proofErr w:type="spellStart"/>
            <w:r w:rsidR="00ED4066" w:rsidRPr="00ED4066">
              <w:rPr>
                <w:sz w:val="16"/>
                <w:szCs w:val="16"/>
              </w:rPr>
              <w:t>Bagdonas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A, </w:t>
            </w:r>
            <w:proofErr w:type="spellStart"/>
            <w:r w:rsidR="00ED4066" w:rsidRPr="00ED4066">
              <w:rPr>
                <w:sz w:val="16"/>
                <w:szCs w:val="16"/>
              </w:rPr>
              <w:t>Butkus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K, Kuzmickienė J, Vaitkevičius A,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., </w:t>
            </w:r>
            <w:proofErr w:type="spellStart"/>
            <w:r w:rsidR="00ED4066" w:rsidRPr="00ED4066">
              <w:rPr>
                <w:sz w:val="16"/>
                <w:szCs w:val="16"/>
              </w:rPr>
              <w:t>Bak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TH. </w:t>
            </w:r>
            <w:proofErr w:type="spellStart"/>
            <w:r w:rsidR="00ED4066" w:rsidRPr="00ED4066">
              <w:rPr>
                <w:sz w:val="16"/>
                <w:szCs w:val="16"/>
              </w:rPr>
              <w:t>Adenbruko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kognityvinio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tyrimo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metodikos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– </w:t>
            </w:r>
            <w:proofErr w:type="spellStart"/>
            <w:r w:rsidR="00ED4066" w:rsidRPr="00ED4066">
              <w:rPr>
                <w:sz w:val="16"/>
                <w:szCs w:val="16"/>
              </w:rPr>
              <w:t>taisytos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adaptacija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lietuviškai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kalbantiems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gyventojams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(ACE-R</w:t>
            </w:r>
            <w:r w:rsidR="00ED4066" w:rsidRPr="00ED4066">
              <w:rPr>
                <w:sz w:val="16"/>
                <w:szCs w:val="16"/>
                <w:vertAlign w:val="superscript"/>
              </w:rPr>
              <w:t>LT</w:t>
            </w:r>
            <w:r w:rsidR="00ED4066" w:rsidRPr="00ED4066">
              <w:rPr>
                <w:sz w:val="16"/>
                <w:szCs w:val="16"/>
              </w:rPr>
              <w:t xml:space="preserve">). </w:t>
            </w:r>
          </w:p>
          <w:p w:rsidR="00ED4066" w:rsidRPr="00ED4066" w:rsidRDefault="004F1590" w:rsidP="00ED4066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ED4066" w:rsidRPr="00ED4066">
              <w:rPr>
                <w:sz w:val="16"/>
                <w:szCs w:val="16"/>
              </w:rPr>
              <w:t xml:space="preserve">. Kizlaitienė R, Budrys V,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Nusiskundimų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atmintimi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nuovargiu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ryšys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objektyviomis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kognityvinėmis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funkcijomis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nuovargiu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depresija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sergant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išsėtine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skleroze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2012; 16(52): 128-142.</w:t>
            </w:r>
          </w:p>
          <w:p w:rsidR="00ED4066" w:rsidRPr="00ED4066" w:rsidRDefault="004F1590" w:rsidP="00ED4066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Tarasevičiūtė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E., </w:t>
            </w:r>
            <w:proofErr w:type="spellStart"/>
            <w:r w:rsidR="00ED4066" w:rsidRPr="00ED4066">
              <w:rPr>
                <w:sz w:val="16"/>
                <w:szCs w:val="16"/>
              </w:rPr>
              <w:t>Šešeikaitė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M., Sakalauskaitė-</w:t>
            </w:r>
            <w:proofErr w:type="spellStart"/>
            <w:r w:rsidR="00ED4066" w:rsidRPr="00ED4066">
              <w:rPr>
                <w:sz w:val="16"/>
                <w:szCs w:val="16"/>
              </w:rPr>
              <w:t>Juodeikienė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E.,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., Budrys V. </w:t>
            </w:r>
            <w:proofErr w:type="spellStart"/>
            <w:r w:rsidR="00ED4066" w:rsidRPr="00ED4066">
              <w:rPr>
                <w:sz w:val="16"/>
                <w:szCs w:val="16"/>
              </w:rPr>
              <w:t>Kortikobazinė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degeneracija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: </w:t>
            </w:r>
            <w:proofErr w:type="spellStart"/>
            <w:r w:rsidR="00ED4066" w:rsidRPr="00ED4066">
              <w:rPr>
                <w:sz w:val="16"/>
                <w:szCs w:val="16"/>
              </w:rPr>
              <w:t>literatūros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apžvalga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trijų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klinikinių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atvejų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pristatymas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      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2012; 16(52): 109-117.</w:t>
            </w:r>
          </w:p>
          <w:p w:rsidR="00ED4066" w:rsidRPr="00ED4066" w:rsidRDefault="00D864F0" w:rsidP="00ED4066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Margevičiūtė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R.,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., </w:t>
            </w:r>
            <w:proofErr w:type="spellStart"/>
            <w:r w:rsidR="00ED4066" w:rsidRPr="00ED4066">
              <w:rPr>
                <w:sz w:val="16"/>
                <w:szCs w:val="16"/>
              </w:rPr>
              <w:t>Liutkienė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J., Mameniškienė R., </w:t>
            </w:r>
            <w:proofErr w:type="spellStart"/>
            <w:r w:rsidR="00ED4066" w:rsidRPr="00ED4066">
              <w:rPr>
                <w:sz w:val="16"/>
                <w:szCs w:val="16"/>
              </w:rPr>
              <w:t>Bagdonas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A. </w:t>
            </w:r>
            <w:proofErr w:type="spellStart"/>
            <w:r w:rsidR="00ED4066" w:rsidRPr="00ED4066">
              <w:rPr>
                <w:sz w:val="16"/>
                <w:szCs w:val="16"/>
              </w:rPr>
              <w:t>Išsėtine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skleroze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epilepsija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sergančių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asmenų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kognityvinių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funkcijų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ypatumai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2012; 16(51): 33-44.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2</w:t>
            </w:r>
            <w:r w:rsidR="00D864F0">
              <w:rPr>
                <w:b/>
                <w:sz w:val="16"/>
                <w:szCs w:val="16"/>
              </w:rPr>
              <w:t>6</w:t>
            </w:r>
            <w:r w:rsidRPr="00ED4066">
              <w:rPr>
                <w:sz w:val="16"/>
                <w:szCs w:val="16"/>
              </w:rPr>
              <w:t xml:space="preserve">. Kizlaitienė R, Budrys V,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Aleknaitė</w:t>
            </w:r>
            <w:proofErr w:type="spellEnd"/>
            <w:r w:rsidRPr="00ED4066">
              <w:rPr>
                <w:sz w:val="16"/>
                <w:szCs w:val="16"/>
              </w:rPr>
              <w:t xml:space="preserve"> L. </w:t>
            </w:r>
            <w:proofErr w:type="spellStart"/>
            <w:r w:rsidRPr="00ED4066">
              <w:rPr>
                <w:sz w:val="16"/>
                <w:szCs w:val="16"/>
              </w:rPr>
              <w:t>Kognityvinių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funkcijų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sutrikimai</w:t>
            </w:r>
            <w:proofErr w:type="spellEnd"/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sergant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recidyvuojančia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remituojančia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ir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antrine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progresuojančia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išsėtine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skleroze</w:t>
            </w:r>
            <w:proofErr w:type="spellEnd"/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ir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jų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ryšys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su</w:t>
            </w:r>
            <w:proofErr w:type="spellEnd"/>
            <w:r w:rsidRPr="00ED4066">
              <w:rPr>
                <w:sz w:val="16"/>
                <w:szCs w:val="16"/>
              </w:rPr>
              <w:t xml:space="preserve"> MRT </w:t>
            </w:r>
            <w:proofErr w:type="spellStart"/>
            <w:r w:rsidRPr="00ED4066">
              <w:rPr>
                <w:sz w:val="16"/>
                <w:szCs w:val="16"/>
              </w:rPr>
              <w:t>pakitimais</w:t>
            </w:r>
            <w:proofErr w:type="spellEnd"/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2011; 15(50): 266-83.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2</w:t>
            </w:r>
            <w:r w:rsidR="00D864F0">
              <w:rPr>
                <w:b/>
                <w:sz w:val="16"/>
                <w:szCs w:val="16"/>
              </w:rPr>
              <w:t>7</w:t>
            </w:r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Tarasevičiūtė</w:t>
            </w:r>
            <w:proofErr w:type="spellEnd"/>
            <w:r w:rsidRPr="00ED4066">
              <w:rPr>
                <w:sz w:val="16"/>
                <w:szCs w:val="16"/>
              </w:rPr>
              <w:t xml:space="preserve"> E,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Budrys V. </w:t>
            </w:r>
            <w:proofErr w:type="spellStart"/>
            <w:r w:rsidRPr="00ED4066">
              <w:rPr>
                <w:sz w:val="16"/>
                <w:szCs w:val="16"/>
              </w:rPr>
              <w:t>Frontotemporalinė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demencija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su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parkinsoniniu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sindromu</w:t>
            </w:r>
            <w:proofErr w:type="spellEnd"/>
            <w:r w:rsidRPr="00ED4066">
              <w:rPr>
                <w:sz w:val="16"/>
                <w:szCs w:val="16"/>
              </w:rPr>
              <w:t xml:space="preserve">: </w:t>
            </w:r>
            <w:proofErr w:type="spellStart"/>
            <w:r w:rsidRPr="00ED4066">
              <w:rPr>
                <w:sz w:val="16"/>
                <w:szCs w:val="16"/>
              </w:rPr>
              <w:t>klinikinis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atvejis</w:t>
            </w:r>
            <w:proofErr w:type="spellEnd"/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2011; 15(48): 128-132.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2</w:t>
            </w:r>
            <w:r w:rsidR="00D864F0">
              <w:rPr>
                <w:b/>
                <w:sz w:val="16"/>
                <w:szCs w:val="16"/>
              </w:rPr>
              <w:t>8</w:t>
            </w:r>
            <w:r w:rsidRPr="00ED4066">
              <w:rPr>
                <w:sz w:val="16"/>
                <w:szCs w:val="16"/>
              </w:rPr>
              <w:t xml:space="preserve">. Kuzmickienė J,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Budrys V, </w:t>
            </w:r>
            <w:proofErr w:type="spellStart"/>
            <w:r w:rsidRPr="00ED4066">
              <w:rPr>
                <w:sz w:val="16"/>
                <w:szCs w:val="16"/>
              </w:rPr>
              <w:t>Trumpauskaitė</w:t>
            </w:r>
            <w:proofErr w:type="spellEnd"/>
            <w:r w:rsidRPr="00ED4066">
              <w:rPr>
                <w:sz w:val="16"/>
                <w:szCs w:val="16"/>
              </w:rPr>
              <w:t xml:space="preserve"> V, </w:t>
            </w:r>
            <w:proofErr w:type="spellStart"/>
            <w:r w:rsidRPr="00ED4066">
              <w:rPr>
                <w:sz w:val="16"/>
                <w:szCs w:val="16"/>
              </w:rPr>
              <w:t>Susekaitė</w:t>
            </w:r>
            <w:proofErr w:type="spellEnd"/>
            <w:r w:rsidRPr="00ED4066">
              <w:rPr>
                <w:sz w:val="16"/>
                <w:szCs w:val="16"/>
              </w:rPr>
              <w:t xml:space="preserve"> E. </w:t>
            </w:r>
            <w:proofErr w:type="spellStart"/>
            <w:r w:rsidRPr="00ED4066">
              <w:rPr>
                <w:sz w:val="16"/>
                <w:szCs w:val="16"/>
              </w:rPr>
              <w:t>Dėmesys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ir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darbinė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atmintis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sergant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Alzheimerio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liga</w:t>
            </w:r>
            <w:proofErr w:type="spellEnd"/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remiantis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kompiuterizuotų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kognityvinių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testų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rezultatais</w:t>
            </w:r>
            <w:proofErr w:type="spellEnd"/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2010; 14(46): 242-249.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sz w:val="16"/>
                <w:szCs w:val="16"/>
              </w:rPr>
              <w:t>2</w:t>
            </w:r>
            <w:r w:rsidR="00D864F0">
              <w:rPr>
                <w:b/>
                <w:sz w:val="16"/>
                <w:szCs w:val="16"/>
              </w:rPr>
              <w:t>9</w:t>
            </w:r>
            <w:r w:rsidRPr="00ED4066">
              <w:rPr>
                <w:sz w:val="16"/>
                <w:szCs w:val="16"/>
              </w:rPr>
              <w:t xml:space="preserve">. Kuzmickienė J,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Susekaitė</w:t>
            </w:r>
            <w:proofErr w:type="spellEnd"/>
            <w:r w:rsidRPr="00ED4066">
              <w:rPr>
                <w:sz w:val="16"/>
                <w:szCs w:val="16"/>
              </w:rPr>
              <w:t xml:space="preserve"> E, </w:t>
            </w:r>
            <w:proofErr w:type="spellStart"/>
            <w:r w:rsidRPr="00ED4066">
              <w:rPr>
                <w:sz w:val="16"/>
                <w:szCs w:val="16"/>
              </w:rPr>
              <w:t>Trumpauskaitė</w:t>
            </w:r>
            <w:proofErr w:type="spellEnd"/>
            <w:r w:rsidRPr="00ED4066">
              <w:rPr>
                <w:sz w:val="16"/>
                <w:szCs w:val="16"/>
              </w:rPr>
              <w:t xml:space="preserve"> V, Budrys V. </w:t>
            </w:r>
            <w:proofErr w:type="spellStart"/>
            <w:r w:rsidRPr="00ED4066">
              <w:rPr>
                <w:sz w:val="16"/>
                <w:szCs w:val="16"/>
              </w:rPr>
              <w:t>Frontalinės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planavimo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ir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sprendimo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funkcijos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sergant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Alzheimerio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liga</w:t>
            </w:r>
            <w:proofErr w:type="spellEnd"/>
            <w:r w:rsidRPr="00ED4066">
              <w:rPr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sz w:val="16"/>
                <w:szCs w:val="16"/>
              </w:rPr>
              <w:t>remiantis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kompiuterizuotų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kognityvinių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testų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rezultatais</w:t>
            </w:r>
            <w:proofErr w:type="spellEnd"/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sem. 2010; 14(45): 167-177. </w:t>
            </w:r>
          </w:p>
          <w:p w:rsidR="00ED4066" w:rsidRPr="00ED4066" w:rsidRDefault="00D864F0" w:rsidP="00ED406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Liutkienė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J, Kizlaitienė R,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, Budrys V. </w:t>
            </w:r>
            <w:proofErr w:type="spellStart"/>
            <w:r w:rsidR="00ED4066" w:rsidRPr="00ED4066">
              <w:rPr>
                <w:sz w:val="16"/>
                <w:szCs w:val="16"/>
              </w:rPr>
              <w:t>Imunomoduliuojančio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gydymo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įtaka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kognityvinių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funkcijų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sutrikimams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sergant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IS: </w:t>
            </w:r>
            <w:proofErr w:type="spellStart"/>
            <w:r w:rsidR="00ED4066" w:rsidRPr="00ED4066">
              <w:rPr>
                <w:sz w:val="16"/>
                <w:szCs w:val="16"/>
              </w:rPr>
              <w:t>klinikinių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tyrimų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apžvalga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2010; 14(45): 149-155. </w:t>
            </w:r>
          </w:p>
          <w:p w:rsidR="00ED4066" w:rsidRPr="00ED4066" w:rsidRDefault="00D864F0" w:rsidP="00ED406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Norkienė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I, Budrys V,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Ivaškevičius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J. </w:t>
            </w:r>
            <w:proofErr w:type="spellStart"/>
            <w:r w:rsidR="00ED4066" w:rsidRPr="00ED4066">
              <w:rPr>
                <w:sz w:val="16"/>
                <w:szCs w:val="16"/>
              </w:rPr>
              <w:t>Ankstyvas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kognityvinių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funkcijų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pakenkimas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po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vainikinių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arterijų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apeinamųjų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jungčių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suformavimo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operacijų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, </w:t>
            </w:r>
            <w:proofErr w:type="spellStart"/>
            <w:r w:rsidR="00ED4066" w:rsidRPr="00ED4066">
              <w:rPr>
                <w:sz w:val="16"/>
                <w:szCs w:val="16"/>
              </w:rPr>
              <w:t>rizikos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veiksniai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asimptominės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miego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arterijos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stenozės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įtaka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2010; 14(43): 35-39. </w:t>
            </w:r>
          </w:p>
          <w:p w:rsidR="00ED4066" w:rsidRPr="00ED4066" w:rsidRDefault="00D864F0" w:rsidP="00ED406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ED4066" w:rsidRPr="00ED4066">
              <w:rPr>
                <w:sz w:val="16"/>
                <w:szCs w:val="16"/>
              </w:rPr>
              <w:t xml:space="preserve">. Kizlaitienė R, Budrys V,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, Budrys T. </w:t>
            </w:r>
            <w:proofErr w:type="spellStart"/>
            <w:r w:rsidR="00ED4066" w:rsidRPr="00ED4066">
              <w:rPr>
                <w:sz w:val="16"/>
                <w:szCs w:val="16"/>
              </w:rPr>
              <w:t>Kognityvinių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funkcijų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sutrikimai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sergant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išsėtine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skleroze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jų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ryšys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su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pakitimais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galvos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smegenų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magnetinio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rezonanso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tomografijos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tyrime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: </w:t>
            </w:r>
            <w:proofErr w:type="spellStart"/>
            <w:r w:rsidR="00ED4066" w:rsidRPr="00ED4066">
              <w:rPr>
                <w:sz w:val="16"/>
                <w:szCs w:val="16"/>
              </w:rPr>
              <w:t>žvalgomieji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tyrimai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literatūros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apžvalga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2009; 13(41): 143-155. </w:t>
            </w:r>
          </w:p>
          <w:p w:rsidR="00ED4066" w:rsidRPr="00ED4066" w:rsidRDefault="00D864F0" w:rsidP="00ED406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r w:rsidR="00ED4066" w:rsidRPr="00ED4066">
              <w:rPr>
                <w:b/>
                <w:sz w:val="16"/>
                <w:szCs w:val="16"/>
                <w:u w:val="single"/>
              </w:rPr>
              <w:t>Kaubrys G</w:t>
            </w:r>
            <w:r w:rsidR="00ED4066" w:rsidRPr="00ED4066">
              <w:rPr>
                <w:sz w:val="16"/>
                <w:szCs w:val="16"/>
              </w:rPr>
              <w:t xml:space="preserve">. </w:t>
            </w:r>
            <w:proofErr w:type="spellStart"/>
            <w:r w:rsidR="00ED4066" w:rsidRPr="00ED4066">
              <w:rPr>
                <w:rStyle w:val="Strong"/>
                <w:b w:val="0"/>
                <w:sz w:val="16"/>
                <w:szCs w:val="16"/>
              </w:rPr>
              <w:t>Sąmonė</w:t>
            </w:r>
            <w:proofErr w:type="spellEnd"/>
            <w:r w:rsidR="00ED4066"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rStyle w:val="Strong"/>
                <w:b w:val="0"/>
                <w:sz w:val="16"/>
                <w:szCs w:val="16"/>
              </w:rPr>
              <w:t>ir</w:t>
            </w:r>
            <w:proofErr w:type="spellEnd"/>
            <w:r w:rsidR="00ED4066"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rStyle w:val="Strong"/>
                <w:b w:val="0"/>
                <w:sz w:val="16"/>
                <w:szCs w:val="16"/>
              </w:rPr>
              <w:t>kognityviniai</w:t>
            </w:r>
            <w:proofErr w:type="spellEnd"/>
            <w:r w:rsidR="00ED4066"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rStyle w:val="Strong"/>
                <w:b w:val="0"/>
                <w:sz w:val="16"/>
                <w:szCs w:val="16"/>
              </w:rPr>
              <w:t>sutrikimai</w:t>
            </w:r>
            <w:proofErr w:type="spellEnd"/>
            <w:r w:rsidR="00ED4066" w:rsidRPr="00ED4066">
              <w:rPr>
                <w:rStyle w:val="Strong"/>
                <w:b w:val="0"/>
                <w:sz w:val="16"/>
                <w:szCs w:val="16"/>
              </w:rPr>
              <w:t>.</w:t>
            </w:r>
            <w:r w:rsidR="00ED4066" w:rsidRPr="00ED4066">
              <w:rPr>
                <w:rStyle w:val="Strong"/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Neurologijos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</w:t>
            </w:r>
            <w:proofErr w:type="spellStart"/>
            <w:r w:rsidR="00ED4066" w:rsidRPr="00ED4066">
              <w:rPr>
                <w:sz w:val="16"/>
                <w:szCs w:val="16"/>
              </w:rPr>
              <w:t>seminarai</w:t>
            </w:r>
            <w:proofErr w:type="spellEnd"/>
            <w:r w:rsidR="00ED4066" w:rsidRPr="00ED4066">
              <w:rPr>
                <w:sz w:val="16"/>
                <w:szCs w:val="16"/>
              </w:rPr>
              <w:t xml:space="preserve"> 2008; 12(36): 67-72.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rStyle w:val="Strong"/>
                <w:sz w:val="16"/>
                <w:szCs w:val="16"/>
              </w:rPr>
              <w:t>3</w:t>
            </w:r>
            <w:r w:rsidR="00D864F0">
              <w:rPr>
                <w:rStyle w:val="Strong"/>
                <w:sz w:val="16"/>
                <w:szCs w:val="16"/>
              </w:rPr>
              <w:t>4</w:t>
            </w:r>
            <w:r w:rsidRPr="00ED4066">
              <w:rPr>
                <w:rStyle w:val="Strong"/>
                <w:sz w:val="16"/>
                <w:szCs w:val="16"/>
              </w:rPr>
              <w:t xml:space="preserve">. </w:t>
            </w:r>
            <w:r w:rsidRPr="00ED4066">
              <w:rPr>
                <w:sz w:val="16"/>
                <w:szCs w:val="16"/>
              </w:rPr>
              <w:t xml:space="preserve">Vaitkevičius A,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Budrys V.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Elektrofiziologiniai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sergančiųjų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Alzheimerio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liga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kognityvinių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funkcijų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skirtumai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: P300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kognityvinio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potencialo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tyrimas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ir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gydymas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cholinerginiais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vaistais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2008; 12(35): 26-34. </w:t>
            </w:r>
          </w:p>
          <w:p w:rsidR="00ED4066" w:rsidRPr="00ED4066" w:rsidRDefault="00ED4066" w:rsidP="00ED4066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bCs/>
                <w:sz w:val="16"/>
                <w:szCs w:val="16"/>
              </w:rPr>
              <w:t>3</w:t>
            </w:r>
            <w:r w:rsidR="00D864F0">
              <w:rPr>
                <w:b/>
                <w:bCs/>
                <w:sz w:val="16"/>
                <w:szCs w:val="16"/>
              </w:rPr>
              <w:t>5</w:t>
            </w:r>
            <w:r w:rsidRPr="00ED4066">
              <w:rPr>
                <w:bCs/>
                <w:sz w:val="16"/>
                <w:szCs w:val="16"/>
              </w:rPr>
              <w:t xml:space="preserve">. </w:t>
            </w:r>
            <w:r w:rsidRPr="00ED4066">
              <w:rPr>
                <w:sz w:val="16"/>
                <w:szCs w:val="16"/>
              </w:rPr>
              <w:t xml:space="preserve">Vaitkevičius A,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, Budrys V. </w:t>
            </w:r>
            <w:r w:rsidRPr="00ED4066">
              <w:rPr>
                <w:rStyle w:val="Strong"/>
                <w:b w:val="0"/>
                <w:sz w:val="16"/>
                <w:szCs w:val="16"/>
              </w:rPr>
              <w:t xml:space="preserve">P300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kognityvinio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potencialo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reikšmė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vertinant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sergančiųjų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Alzheimerio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liga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kognityvines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funkcijas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>.</w:t>
            </w:r>
            <w:r w:rsidRPr="00ED4066">
              <w:rPr>
                <w:rStyle w:val="Strong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2007; 11(34): 261-268. </w:t>
            </w:r>
          </w:p>
          <w:p w:rsidR="00EE1433" w:rsidRPr="00EE1433" w:rsidRDefault="00ED4066" w:rsidP="009A36E8">
            <w:pPr>
              <w:jc w:val="both"/>
              <w:rPr>
                <w:sz w:val="16"/>
                <w:szCs w:val="16"/>
              </w:rPr>
            </w:pPr>
            <w:r w:rsidRPr="00ED4066">
              <w:rPr>
                <w:b/>
                <w:bCs/>
                <w:sz w:val="16"/>
                <w:szCs w:val="16"/>
              </w:rPr>
              <w:t>3</w:t>
            </w:r>
            <w:r w:rsidR="00D864F0">
              <w:rPr>
                <w:b/>
                <w:bCs/>
                <w:sz w:val="16"/>
                <w:szCs w:val="16"/>
              </w:rPr>
              <w:t>6</w:t>
            </w:r>
            <w:r w:rsidRPr="00ED4066">
              <w:rPr>
                <w:bCs/>
                <w:sz w:val="16"/>
                <w:szCs w:val="16"/>
              </w:rPr>
              <w:t xml:space="preserve">. </w:t>
            </w:r>
            <w:r w:rsidRPr="00ED4066">
              <w:rPr>
                <w:b/>
                <w:sz w:val="16"/>
                <w:szCs w:val="16"/>
                <w:u w:val="single"/>
              </w:rPr>
              <w:t>Kaubrys G</w:t>
            </w:r>
            <w:r w:rsidRPr="00ED4066">
              <w:rPr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Skausmas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sergant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Alzheimerio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liga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: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sensoriniai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,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emociniai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ir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kognityviniai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rStyle w:val="Strong"/>
                <w:b w:val="0"/>
                <w:sz w:val="16"/>
                <w:szCs w:val="16"/>
              </w:rPr>
              <w:t>aspektai</w:t>
            </w:r>
            <w:proofErr w:type="spellEnd"/>
            <w:r w:rsidRPr="00ED4066">
              <w:rPr>
                <w:rStyle w:val="Strong"/>
                <w:b w:val="0"/>
                <w:sz w:val="16"/>
                <w:szCs w:val="16"/>
              </w:rPr>
              <w:t xml:space="preserve">. </w:t>
            </w:r>
            <w:proofErr w:type="spellStart"/>
            <w:r w:rsidRPr="00ED4066">
              <w:rPr>
                <w:sz w:val="16"/>
                <w:szCs w:val="16"/>
              </w:rPr>
              <w:t>Neurologijos</w:t>
            </w:r>
            <w:proofErr w:type="spellEnd"/>
            <w:r w:rsidRPr="00ED4066">
              <w:rPr>
                <w:sz w:val="16"/>
                <w:szCs w:val="16"/>
              </w:rPr>
              <w:t xml:space="preserve"> </w:t>
            </w:r>
            <w:proofErr w:type="spellStart"/>
            <w:r w:rsidRPr="00ED4066">
              <w:rPr>
                <w:sz w:val="16"/>
                <w:szCs w:val="16"/>
              </w:rPr>
              <w:t>seminarai</w:t>
            </w:r>
            <w:proofErr w:type="spellEnd"/>
            <w:r w:rsidRPr="00ED4066">
              <w:rPr>
                <w:sz w:val="16"/>
                <w:szCs w:val="16"/>
              </w:rPr>
              <w:t xml:space="preserve"> 2007; 11(34): 242-246.</w:t>
            </w:r>
          </w:p>
        </w:tc>
      </w:tr>
    </w:tbl>
    <w:p w:rsidR="00833582" w:rsidRDefault="00833582" w:rsidP="00D864F0"/>
    <w:sectPr w:rsidR="00833582" w:rsidSect="00D864F0">
      <w:pgSz w:w="12240" w:h="15840"/>
      <w:pgMar w:top="63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0D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6"/>
    <w:rsid w:val="00002168"/>
    <w:rsid w:val="000022D6"/>
    <w:rsid w:val="0000326E"/>
    <w:rsid w:val="00004DC3"/>
    <w:rsid w:val="00007563"/>
    <w:rsid w:val="000135FB"/>
    <w:rsid w:val="00034B87"/>
    <w:rsid w:val="0003584C"/>
    <w:rsid w:val="0004524B"/>
    <w:rsid w:val="00046116"/>
    <w:rsid w:val="00052A92"/>
    <w:rsid w:val="00074FDE"/>
    <w:rsid w:val="00095C6C"/>
    <w:rsid w:val="000B51D4"/>
    <w:rsid w:val="000C31D7"/>
    <w:rsid w:val="000C577D"/>
    <w:rsid w:val="000E1784"/>
    <w:rsid w:val="000E4B68"/>
    <w:rsid w:val="000F1CBB"/>
    <w:rsid w:val="00116332"/>
    <w:rsid w:val="00124E3A"/>
    <w:rsid w:val="00130B59"/>
    <w:rsid w:val="001316A5"/>
    <w:rsid w:val="00134CF9"/>
    <w:rsid w:val="00141996"/>
    <w:rsid w:val="0015482B"/>
    <w:rsid w:val="00176979"/>
    <w:rsid w:val="0017705A"/>
    <w:rsid w:val="001844DE"/>
    <w:rsid w:val="0018564F"/>
    <w:rsid w:val="00197E67"/>
    <w:rsid w:val="001B2D84"/>
    <w:rsid w:val="001E5490"/>
    <w:rsid w:val="001F6726"/>
    <w:rsid w:val="00222B1E"/>
    <w:rsid w:val="00232898"/>
    <w:rsid w:val="00241E88"/>
    <w:rsid w:val="00264E14"/>
    <w:rsid w:val="002722E0"/>
    <w:rsid w:val="00283AEC"/>
    <w:rsid w:val="002978C4"/>
    <w:rsid w:val="002B1353"/>
    <w:rsid w:val="002E1F2F"/>
    <w:rsid w:val="002F06D6"/>
    <w:rsid w:val="00302F2B"/>
    <w:rsid w:val="00304D2A"/>
    <w:rsid w:val="00334AFF"/>
    <w:rsid w:val="00364D21"/>
    <w:rsid w:val="00384BE5"/>
    <w:rsid w:val="003A080F"/>
    <w:rsid w:val="003B61B2"/>
    <w:rsid w:val="003C0B26"/>
    <w:rsid w:val="003C0B5A"/>
    <w:rsid w:val="003C6E1B"/>
    <w:rsid w:val="003D214B"/>
    <w:rsid w:val="003E1B55"/>
    <w:rsid w:val="003E69AB"/>
    <w:rsid w:val="00421AA2"/>
    <w:rsid w:val="00421C82"/>
    <w:rsid w:val="004249CC"/>
    <w:rsid w:val="0043283A"/>
    <w:rsid w:val="00437239"/>
    <w:rsid w:val="004461C1"/>
    <w:rsid w:val="00450B00"/>
    <w:rsid w:val="00463BD4"/>
    <w:rsid w:val="00464AA0"/>
    <w:rsid w:val="004713C8"/>
    <w:rsid w:val="0048148D"/>
    <w:rsid w:val="004858B7"/>
    <w:rsid w:val="00493905"/>
    <w:rsid w:val="00495C3E"/>
    <w:rsid w:val="004A2CC4"/>
    <w:rsid w:val="004B1D30"/>
    <w:rsid w:val="004C4425"/>
    <w:rsid w:val="004D6EF9"/>
    <w:rsid w:val="004D780D"/>
    <w:rsid w:val="004E3D92"/>
    <w:rsid w:val="004E67D9"/>
    <w:rsid w:val="004F0346"/>
    <w:rsid w:val="004F1590"/>
    <w:rsid w:val="004F1673"/>
    <w:rsid w:val="0054508D"/>
    <w:rsid w:val="00555A40"/>
    <w:rsid w:val="005630CD"/>
    <w:rsid w:val="00571DA2"/>
    <w:rsid w:val="0057212D"/>
    <w:rsid w:val="0057462A"/>
    <w:rsid w:val="00583A4E"/>
    <w:rsid w:val="005867C9"/>
    <w:rsid w:val="005945D9"/>
    <w:rsid w:val="005E0BD1"/>
    <w:rsid w:val="005E450D"/>
    <w:rsid w:val="005F05B1"/>
    <w:rsid w:val="005F5180"/>
    <w:rsid w:val="005F54B0"/>
    <w:rsid w:val="00615A7B"/>
    <w:rsid w:val="0062228D"/>
    <w:rsid w:val="0063653F"/>
    <w:rsid w:val="006367E6"/>
    <w:rsid w:val="00672CCD"/>
    <w:rsid w:val="00683482"/>
    <w:rsid w:val="006A5CA6"/>
    <w:rsid w:val="006B7272"/>
    <w:rsid w:val="006D55B9"/>
    <w:rsid w:val="006F3E56"/>
    <w:rsid w:val="006F5442"/>
    <w:rsid w:val="0070761B"/>
    <w:rsid w:val="00733C0D"/>
    <w:rsid w:val="00743D9D"/>
    <w:rsid w:val="0076007A"/>
    <w:rsid w:val="007624DA"/>
    <w:rsid w:val="00771576"/>
    <w:rsid w:val="00777F6A"/>
    <w:rsid w:val="00792918"/>
    <w:rsid w:val="007E3F27"/>
    <w:rsid w:val="007F67DB"/>
    <w:rsid w:val="008013D9"/>
    <w:rsid w:val="00801ACF"/>
    <w:rsid w:val="008074E9"/>
    <w:rsid w:val="008158C9"/>
    <w:rsid w:val="00833582"/>
    <w:rsid w:val="00835640"/>
    <w:rsid w:val="0086474B"/>
    <w:rsid w:val="00866674"/>
    <w:rsid w:val="008E5653"/>
    <w:rsid w:val="008F0835"/>
    <w:rsid w:val="008F7FC6"/>
    <w:rsid w:val="0090504D"/>
    <w:rsid w:val="00913B1C"/>
    <w:rsid w:val="00915356"/>
    <w:rsid w:val="00916131"/>
    <w:rsid w:val="0093143C"/>
    <w:rsid w:val="00957B65"/>
    <w:rsid w:val="00960A0D"/>
    <w:rsid w:val="00982A15"/>
    <w:rsid w:val="00990D4B"/>
    <w:rsid w:val="0099593C"/>
    <w:rsid w:val="009A2BC1"/>
    <w:rsid w:val="009A36E8"/>
    <w:rsid w:val="009B4494"/>
    <w:rsid w:val="009C2C87"/>
    <w:rsid w:val="009E41A0"/>
    <w:rsid w:val="009E5B61"/>
    <w:rsid w:val="009F4C6D"/>
    <w:rsid w:val="00A20C29"/>
    <w:rsid w:val="00A26638"/>
    <w:rsid w:val="00A44529"/>
    <w:rsid w:val="00A65A54"/>
    <w:rsid w:val="00A7513D"/>
    <w:rsid w:val="00AA0958"/>
    <w:rsid w:val="00AA2F86"/>
    <w:rsid w:val="00AA5508"/>
    <w:rsid w:val="00AB08F7"/>
    <w:rsid w:val="00AB291E"/>
    <w:rsid w:val="00AE157B"/>
    <w:rsid w:val="00AE604F"/>
    <w:rsid w:val="00AE6BD6"/>
    <w:rsid w:val="00B05A12"/>
    <w:rsid w:val="00B17139"/>
    <w:rsid w:val="00B527FF"/>
    <w:rsid w:val="00B5791F"/>
    <w:rsid w:val="00B72609"/>
    <w:rsid w:val="00B850F7"/>
    <w:rsid w:val="00B963BB"/>
    <w:rsid w:val="00BB2CCC"/>
    <w:rsid w:val="00BC7E2B"/>
    <w:rsid w:val="00BD11E3"/>
    <w:rsid w:val="00BD4512"/>
    <w:rsid w:val="00BD723C"/>
    <w:rsid w:val="00BE0CD5"/>
    <w:rsid w:val="00C50FE6"/>
    <w:rsid w:val="00C670D0"/>
    <w:rsid w:val="00C80630"/>
    <w:rsid w:val="00C84FD5"/>
    <w:rsid w:val="00C917E6"/>
    <w:rsid w:val="00CC623E"/>
    <w:rsid w:val="00CF4279"/>
    <w:rsid w:val="00D07310"/>
    <w:rsid w:val="00D16367"/>
    <w:rsid w:val="00D45CF0"/>
    <w:rsid w:val="00D53C7A"/>
    <w:rsid w:val="00D61263"/>
    <w:rsid w:val="00D673B0"/>
    <w:rsid w:val="00D70719"/>
    <w:rsid w:val="00D864F0"/>
    <w:rsid w:val="00DA40CA"/>
    <w:rsid w:val="00DE04D2"/>
    <w:rsid w:val="00DF5FCD"/>
    <w:rsid w:val="00E04EE4"/>
    <w:rsid w:val="00E23383"/>
    <w:rsid w:val="00E26496"/>
    <w:rsid w:val="00E43E47"/>
    <w:rsid w:val="00E53CB8"/>
    <w:rsid w:val="00E8235B"/>
    <w:rsid w:val="00EA6B42"/>
    <w:rsid w:val="00ED4066"/>
    <w:rsid w:val="00EE1433"/>
    <w:rsid w:val="00EE612F"/>
    <w:rsid w:val="00EF590A"/>
    <w:rsid w:val="00EF5B3B"/>
    <w:rsid w:val="00F103CC"/>
    <w:rsid w:val="00F12A89"/>
    <w:rsid w:val="00F22EC3"/>
    <w:rsid w:val="00F47898"/>
    <w:rsid w:val="00F524CC"/>
    <w:rsid w:val="00F72210"/>
    <w:rsid w:val="00F850E4"/>
    <w:rsid w:val="00F94DF3"/>
    <w:rsid w:val="00FC15F0"/>
    <w:rsid w:val="00FC326A"/>
    <w:rsid w:val="00FC4786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0661-B0E2-47FE-81A2-85C66DC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4529"/>
    <w:rPr>
      <w:b/>
      <w:bCs/>
    </w:rPr>
  </w:style>
  <w:style w:type="paragraph" w:styleId="BalloonText">
    <w:name w:val="Balloon Text"/>
    <w:basedOn w:val="Normal"/>
    <w:semiHidden/>
    <w:rsid w:val="005F05B1"/>
    <w:rPr>
      <w:rFonts w:ascii="Tahoma" w:hAnsi="Tahoma" w:cs="Tahoma"/>
      <w:sz w:val="16"/>
      <w:szCs w:val="16"/>
    </w:rPr>
  </w:style>
  <w:style w:type="character" w:styleId="Hyperlink">
    <w:name w:val="Hyperlink"/>
    <w:rsid w:val="006D55B9"/>
    <w:rPr>
      <w:color w:val="0000FF"/>
      <w:u w:val="single"/>
    </w:rPr>
  </w:style>
  <w:style w:type="character" w:customStyle="1" w:styleId="highlight2">
    <w:name w:val="highlight2"/>
    <w:rsid w:val="000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0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3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09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2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7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34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7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8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50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E595-5867-43A4-BF6D-CA48947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Private User</Company>
  <LinksUpToDate>false</LinksUpToDate>
  <CharactersWithSpaces>10472</CharactersWithSpaces>
  <SharedDoc>false</SharedDoc>
  <HLinks>
    <vt:vector size="42" baseType="variant">
      <vt:variant>
        <vt:i4>6291470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http://www.ncbi.nlm.nih.gov/entrez/query.fcgi?db=pubmed&amp;cmd=Search&amp;itool=pubmed_Abstract&amp;term=%22Budrys+V%22%5BAuthor%5D</vt:lpwstr>
      </vt:variant>
      <vt:variant>
        <vt:lpwstr/>
      </vt:variant>
      <vt:variant>
        <vt:i4>7995407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http://www.ncbi.nlm.nih.gov/entrez/query.fcgi?db=pubmed&amp;cmd=Search&amp;itool=pubmed_Abstract&amp;term=%22Kaubrys+G%22%5BAuthor%5D</vt:lpwstr>
      </vt:variant>
      <vt:variant>
        <vt:lpwstr/>
      </vt:variant>
      <vt:variant>
        <vt:i4>7405576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http://www.ncbi.nlm.nih.gov/entrez/query.fcgi?db=pubmed&amp;cmd=Search&amp;itool=pubmed_Abstract&amp;term=%22Jatuzis+D%22%5BAuthor%5D</vt:lpwstr>
      </vt:variant>
      <vt:variant>
        <vt:lpwstr/>
      </vt:variant>
      <vt:variant>
        <vt:i4>327800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http://www.ncbi.nlm.nih.gov/entrez/query.fcgi?db=pubmed&amp;cmd=Search&amp;itool=pubmed_Abstract&amp;term=%22Mameniskiene+R%22%5BAuthor%5D</vt:lpwstr>
      </vt:variant>
      <vt:variant>
        <vt:lpwstr/>
      </vt:variant>
      <vt:variant>
        <vt:i4>7995407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http://www.ncbi.nlm.nih.gov/entrez/query.fcgi?db=pubmed&amp;cmd=Search&amp;itool=pubmed_Abstract&amp;term=%22Kaubrys+G%22%5BAuthor%5D</vt:lpwstr>
      </vt:variant>
      <vt:variant>
        <vt:lpwstr/>
      </vt:variant>
      <vt:variant>
        <vt:i4>7471125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http://www.ncbi.nlm.nih.gov/entrez/query.fcgi?db=pubmed&amp;cmd=Search&amp;itool=pubmed_Abstract&amp;term=%22Lengveniene+J%22%5BAuthor%5D</vt:lpwstr>
      </vt:variant>
      <vt:variant>
        <vt:lpwstr/>
      </vt:variant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http://www.ncbi.nlm.nih.gov/entrez/query.fcgi?db=pubmed&amp;cmd=Search&amp;itool=pubmed_Abstract&amp;term=%22Petroska+D%22%5BAuthor%5D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Gintaras Kaubrys</dc:creator>
  <cp:keywords/>
  <dc:description/>
  <cp:lastModifiedBy>k</cp:lastModifiedBy>
  <cp:revision>2</cp:revision>
  <cp:lastPrinted>2019-04-12T19:42:00Z</cp:lastPrinted>
  <dcterms:created xsi:type="dcterms:W3CDTF">2019-10-28T23:53:00Z</dcterms:created>
  <dcterms:modified xsi:type="dcterms:W3CDTF">2019-10-28T23:53:00Z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-472429715</vt:i4>
  </property>
  <property fmtid="{D5CDD505-2E9C-101B-9397-08002B2CF9AE}" pid="3" name="_NewReviewCycle">
    <vt:lpwstr/>
  </property>
  <property fmtid="{D5CDD505-2E9C-101B-9397-08002B2CF9AE}" pid="4" name="_EmailSubject">
    <vt:lpwstr>CV atnaujintos ir sutvarkytos_GK_VB_EN</vt:lpwstr>
  </property>
  <property fmtid="{D5CDD505-2E9C-101B-9397-08002B2CF9AE}" pid="5" name="_AuthorEmail">
    <vt:lpwstr>gkaubrys@cablenet.lt</vt:lpwstr>
  </property>
  <property fmtid="{D5CDD505-2E9C-101B-9397-08002B2CF9AE}" pid="6" name="_AuthorEmailDisplayName">
    <vt:lpwstr>Gintaras Kaubrys</vt:lpwstr>
  </property>
  <property fmtid="{D5CDD505-2E9C-101B-9397-08002B2CF9AE}" pid="7" name="_ReviewingToolsShownOnce">
    <vt:lpwstr/>
  </property>
</Properties>
</file>