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2666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Peterlin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Maver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Utkus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Contemporary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scope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inborn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errors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metabolism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involving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epilepsy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seizures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Metabolic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Brain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Disease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doi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: 10.1007/s11011-018-0288-1. [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Epub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ahead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print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].</w:t>
      </w:r>
    </w:p>
    <w:p w14:paraId="3AF1E475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Maver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Writzl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K,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Hodžić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Čuturilo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G,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Kuzmanić-Šamija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R,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Čulić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V,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Peterlin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Diagnostic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exome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sequencing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syndromic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epilepsy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patients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clinical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practice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Clin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Genet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 2018 May;93(5):1057-1062.  </w:t>
      </w:r>
    </w:p>
    <w:p w14:paraId="6CD63F55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Čiuladaitė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Ž.,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Preikšaitienė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E, Mameniškienė R,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Utkus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Kučinskas V.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Phenotype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Comparison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Confirms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ZMYND11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Critical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Gene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for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10p15.3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Microdeletion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Syndrome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Journal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Applied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Genetics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, 2017 Nov;58(4):467-474.</w:t>
      </w:r>
    </w:p>
    <w:p w14:paraId="7248901E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Voisin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N,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Preikšaitienė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E,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Petroška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D, Grikinienė J,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Samaitienė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R,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Utkus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Reymond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Kučinskas V.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Inflammatory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myopathy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patient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with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Aicardi-Goutières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syndrome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Eur J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Med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Genet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 2017;60(3):154-158.</w:t>
      </w:r>
    </w:p>
    <w:p w14:paraId="64CDD2FF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Preiksaitiene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E,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Maldžienė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Ž,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Pranckevičienė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E, Morkūnienė A,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Utkus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Kučinskas V.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Features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KAT6B-related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disorders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patient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with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10q22.1q22.3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deletion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Ophthalmic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Genet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 2016;23:1-4.</w:t>
      </w:r>
    </w:p>
    <w:p w14:paraId="47246378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Mikstiene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V, Jakaitiene A,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Byckova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J,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Gradauskiene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E,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Preiksaitiene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E, Burnyte B, Tumiene B,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Matuleviciene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A, Ambrozaityte L,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Uktveryte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I, Domarkiene I,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Rancelis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T,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Cimbalistiene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L, Lesinskas E,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Kucinskas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V,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Utkus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The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high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frequency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GJB2 gene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mutation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c.313_326del14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suggests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its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possible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origin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ancestors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Lithuanian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population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BMC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Genet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 2016;17:45.</w:t>
      </w:r>
    </w:p>
    <w:p w14:paraId="5A08BC79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proofErr w:type="spellStart"/>
      <w:r>
        <w:rPr>
          <w:rFonts w:ascii="Segoe UI" w:hAnsi="Segoe UI" w:cs="Segoe UI"/>
          <w:color w:val="333333"/>
          <w:sz w:val="20"/>
          <w:szCs w:val="20"/>
        </w:rPr>
        <w:t>R.Samaitienė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J.Norkūnienė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B.Tumienė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J.Grikinienė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Sleep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behavioral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problems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in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rolandic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epilepsy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Pediatr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Neurol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>. 2013;48(2):115-22.</w:t>
      </w:r>
    </w:p>
    <w:p w14:paraId="1C334B8C" w14:textId="77777777" w:rsidR="002C57BD" w:rsidRDefault="002C57BD" w:rsidP="00ED2D06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right="707"/>
        <w:jc w:val="both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 xml:space="preserve">Eglė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Preikšaitienė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Jūratė Kasnauskienė, Živilė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Čiuladaitė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Birutė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Tumienė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Philippos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C.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Patsalis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, Vaidutis Kučinskas.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Clinical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and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molecular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characterization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second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case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of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7p22.1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microduplication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Am J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Med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Genet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Part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A 2012;158A(5):1200-3.</w:t>
      </w:r>
    </w:p>
    <w:p w14:paraId="0D2DC47E" w14:textId="77777777" w:rsidR="002C57BD" w:rsidRDefault="002C57BD"/>
    <w:sectPr w:rsidR="002C57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64DBB"/>
    <w:multiLevelType w:val="multilevel"/>
    <w:tmpl w:val="9B5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477823"/>
    <w:multiLevelType w:val="multilevel"/>
    <w:tmpl w:val="62DAD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D"/>
    <w:rsid w:val="002C57BD"/>
    <w:rsid w:val="003D6F11"/>
    <w:rsid w:val="00550E2B"/>
    <w:rsid w:val="00CF5562"/>
    <w:rsid w:val="00E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4470"/>
  <w15:chartTrackingRefBased/>
  <w15:docId w15:val="{F6FAA70B-A574-4AF3-A228-2435F20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C5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Lauryna Pranė</dc:creator>
  <cp:keywords/>
  <dc:description/>
  <cp:lastModifiedBy>Jolanta</cp:lastModifiedBy>
  <cp:revision>3</cp:revision>
  <dcterms:created xsi:type="dcterms:W3CDTF">2020-06-17T05:34:00Z</dcterms:created>
  <dcterms:modified xsi:type="dcterms:W3CDTF">2020-06-23T08:13:00Z</dcterms:modified>
</cp:coreProperties>
</file>